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_GBK" w:eastAsia="方正小标宋_GBK" w:cs="方正小标宋_GBK"/>
          <w:sz w:val="44"/>
          <w:szCs w:val="44"/>
        </w:rPr>
      </w:pPr>
      <w:r>
        <w:rPr>
          <w:rFonts w:ascii="方正小标宋_GBK" w:eastAsia="方正小标宋_GBK" w:cs="方正小标宋_GBK"/>
          <w:sz w:val="44"/>
          <w:szCs w:val="44"/>
        </w:rPr>
        <w:t>欧盟</w:t>
      </w:r>
    </w:p>
    <w:p>
      <w:pPr>
        <w:pStyle w:val="54"/>
        <w:jc w:val="center"/>
        <w:rPr>
          <w:rFonts w:ascii="方正小标宋_GBK" w:eastAsia="方正小标宋_GBK" w:cs="方正小标宋_GBK"/>
          <w:sz w:val="40"/>
          <w:szCs w:val="40"/>
        </w:rPr>
      </w:pPr>
      <w:r>
        <w:rPr>
          <w:rFonts w:ascii="方正小标宋_GBK" w:eastAsia="方正小标宋_GBK" w:cs="Times New Roman" w:hint="eastAsia"/>
          <w:sz w:val="28"/>
          <w:szCs w:val="28"/>
          <w:lang w:bidi="ar-SA"/>
        </w:rPr>
        <w:t>（以下翻译内容仅供参考，如有进一步需求，请自行查找原文）</w:t>
      </w:r>
    </w:p>
    <w:p>
      <w:pPr>
        <w:pStyle w:val="26"/>
        <w:spacing w:beforeLines="50" w:before="156" w:afterLines="50" w:after="156" w:line="560" w:lineRule="exact"/>
        <w:ind w:left="640"/>
        <w:rPr>
          <w:rFonts w:ascii="方正黑体_GBK" w:eastAsia="方正黑体_GBK" w:cs="宋体"/>
          <w:b w:val="0"/>
          <w:kern w:val="0"/>
          <w:sz w:val="32"/>
          <w:szCs w:val="32"/>
        </w:rPr>
      </w:pPr>
      <w:bookmarkStart w:id="0" w:name="_Toc124236973"/>
    </w:p>
    <w:p>
      <w:pPr>
        <w:pStyle w:val="52"/>
        <w:spacing w:beforeLines="50" w:before="156" w:afterLines="50" w:after="156" w:line="560" w:lineRule="exact"/>
        <w:ind w:left="640"/>
        <w:rPr>
          <w:rFonts w:ascii="方正黑体_GBK" w:eastAsia="方正黑体_GBK" w:cs="宋体"/>
          <w:b w:val="0"/>
          <w:kern w:val="0"/>
          <w:sz w:val="32"/>
          <w:szCs w:val="32"/>
        </w:rPr>
      </w:pPr>
      <w:bookmarkStart w:id="1" w:name="_Toc127438271"/>
      <w:r>
        <w:rPr>
          <w:rFonts w:ascii="方正黑体_GBK" w:eastAsia="方正黑体_GBK" w:cs="宋体" w:hint="eastAsia"/>
          <w:b w:val="0"/>
          <w:kern w:val="0"/>
          <w:sz w:val="32"/>
          <w:szCs w:val="32"/>
        </w:rPr>
        <w:t>欧盟修订部分食品中噻虫胺等农药的最大残留限量</w:t>
      </w:r>
      <w:bookmarkEnd w:id="1"/>
    </w:p>
    <w:p>
      <w:pPr>
        <w:pStyle w:val="53"/>
        <w:ind w:firstLineChars="200" w:firstLine="640"/>
        <w:rPr>
          <w:rFonts w:eastAsia="方正仿宋_GBK"/>
          <w:kern w:val="0"/>
          <w:sz w:val="32"/>
          <w:szCs w:val="32"/>
        </w:rPr>
      </w:pPr>
      <w:r>
        <w:rPr>
          <w:rFonts w:eastAsia="方正仿宋_GBK" w:hint="eastAsia"/>
          <w:kern w:val="0"/>
          <w:sz w:val="32"/>
          <w:szCs w:val="32"/>
        </w:rPr>
        <w:t>欧盟官方公报</w:t>
      </w:r>
      <w:r>
        <w:rPr>
          <w:rFonts w:eastAsia="方正仿宋_GBK"/>
          <w:kern w:val="0"/>
          <w:sz w:val="32"/>
          <w:szCs w:val="32"/>
        </w:rPr>
        <w:t>2023</w:t>
      </w:r>
      <w:r>
        <w:rPr>
          <w:rFonts w:eastAsia="方正仿宋_GBK" w:hint="eastAsia"/>
          <w:kern w:val="0"/>
          <w:sz w:val="32"/>
          <w:szCs w:val="32"/>
        </w:rPr>
        <w:t>年2月15日消息，欧盟委员会2023年2月2日通过（EU） 2023/334条例修订部分食品中农兽药噻虫胺、噻虫嗪限量，自发布后第20日生效。主要内容如下：（1）（EC） No 396/2005 的附件 II 和 V 根据本法规的附件进行了修订；（2）（EC） No 396/2005 在被本法规修订前应继续适用于 2026 年 3 月 7 日之前在欧盟生产或进口到欧盟的产品；（3）自2026年3月7日起适用。</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41"/>
        <w:gridCol w:w="2268"/>
        <w:gridCol w:w="1984"/>
        <w:gridCol w:w="1908"/>
      </w:tblGrid>
      <w:tr>
        <w:trPr>
          <w:trHeight w:val="20"/>
          <w:tblHeader/>
        </w:trPr>
        <w:tc>
          <w:tcPr>
            <w:tcW w:w="344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b/>
                <w:sz w:val="24"/>
              </w:rPr>
            </w:pPr>
            <w:r>
              <w:rPr>
                <w:rFonts w:eastAsia="方正仿宋_GBK" w:hint="eastAsia"/>
                <w:b/>
                <w:sz w:val="24"/>
              </w:rPr>
              <w:t>农药名称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b/>
                <w:sz w:val="24"/>
              </w:rPr>
            </w:pPr>
            <w:r>
              <w:rPr>
                <w:rFonts w:eastAsia="方正仿宋_GBK" w:hint="eastAsia"/>
                <w:b/>
                <w:sz w:val="24"/>
              </w:rPr>
              <w:t>食品名称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b/>
                <w:sz w:val="24"/>
              </w:rPr>
            </w:pPr>
            <w:r>
              <w:rPr>
                <w:rFonts w:eastAsia="方正仿宋_GBK" w:hint="eastAsia"/>
                <w:b/>
                <w:sz w:val="24"/>
              </w:rPr>
              <w:t>修订后最大残留限量</w:t>
            </w:r>
            <w:r>
              <w:rPr>
                <w:rFonts w:eastAsia="方正仿宋_GBK"/>
                <w:b/>
                <w:sz w:val="24"/>
              </w:rPr>
              <w:t>（mg/kg）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b/>
                <w:sz w:val="24"/>
              </w:rPr>
            </w:pPr>
            <w:r>
              <w:rPr>
                <w:rFonts w:eastAsia="方正仿宋_GBK" w:hint="eastAsia"/>
                <w:b/>
                <w:sz w:val="24"/>
              </w:rPr>
              <w:t>现有最大残留限量</w:t>
            </w:r>
            <w:r>
              <w:rPr>
                <w:rFonts w:eastAsia="方正仿宋_GBK"/>
                <w:b/>
                <w:sz w:val="24"/>
              </w:rPr>
              <w:t>（mg/kg）</w:t>
            </w:r>
          </w:p>
        </w:tc>
      </w:tr>
      <w:tr>
        <w:trPr>
          <w:trHeight w:val="20"/>
          <w:tblHeader/>
        </w:trPr>
        <w:tc>
          <w:tcPr>
            <w:tcW w:w="3441" w:type="dxa"/>
            <w:vMerge w:val="restart"/>
            <w:tcBorders>
              <w:top w:val="single" w:sz="4" w:space="0" w:color="auto"/>
              <w:left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噻虫胺（Clothianidin）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胡萝卜</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0.06</w:t>
            </w:r>
          </w:p>
        </w:tc>
      </w:tr>
      <w:tr>
        <w:trPr>
          <w:trHeight w:val="20"/>
          <w:tblHeader/>
        </w:trPr>
        <w:tc>
          <w:tcPr>
            <w:tcW w:w="3441"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番茄</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0.04</w:t>
            </w:r>
          </w:p>
        </w:tc>
      </w:tr>
      <w:tr>
        <w:trPr>
          <w:trHeight w:val="20"/>
          <w:tblHeader/>
        </w:trPr>
        <w:tc>
          <w:tcPr>
            <w:tcW w:w="3441" w:type="dxa"/>
            <w:vMerge/>
            <w:tcBorders>
              <w:left w:val="single" w:sz="4" w:space="0" w:color="auto"/>
              <w:bottom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牛奶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0.02</w:t>
            </w:r>
          </w:p>
        </w:tc>
      </w:tr>
      <w:tr>
        <w:trPr>
          <w:trHeight w:val="20"/>
          <w:tblHeader/>
        </w:trPr>
        <w:tc>
          <w:tcPr>
            <w:tcW w:w="3441" w:type="dxa"/>
            <w:vMerge w:val="restart"/>
            <w:tcBorders>
              <w:top w:val="single" w:sz="4" w:space="0" w:color="auto"/>
              <w:left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噻虫嗪 （Thiamethoxam）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胡萝卜</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0.3</w:t>
            </w:r>
          </w:p>
        </w:tc>
      </w:tr>
      <w:tr>
        <w:trPr>
          <w:trHeight w:val="20"/>
          <w:tblHeader/>
        </w:trPr>
        <w:tc>
          <w:tcPr>
            <w:tcW w:w="3441"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甜椒</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0.7</w:t>
            </w:r>
          </w:p>
        </w:tc>
      </w:tr>
      <w:tr>
        <w:trPr>
          <w:trHeight w:val="20"/>
          <w:tblHeader/>
        </w:trPr>
        <w:tc>
          <w:tcPr>
            <w:tcW w:w="3441" w:type="dxa"/>
            <w:vMerge/>
            <w:tcBorders>
              <w:left w:val="single" w:sz="4" w:space="0" w:color="auto"/>
              <w:bottom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牛奶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53"/>
              <w:snapToGrid w:val="0"/>
              <w:spacing w:line="400" w:lineRule="exact"/>
              <w:jc w:val="center"/>
              <w:rPr>
                <w:rFonts w:eastAsia="方正仿宋_GBK"/>
                <w:sz w:val="24"/>
                <w:lang w:eastAsia="ja-JP"/>
              </w:rPr>
            </w:pPr>
            <w:r>
              <w:rPr>
                <w:rFonts w:eastAsia="方正仿宋_GBK" w:hint="eastAsia"/>
                <w:sz w:val="24"/>
                <w:lang w:eastAsia="ja-JP"/>
              </w:rPr>
              <w:t>0.05</w:t>
            </w:r>
          </w:p>
        </w:tc>
      </w:tr>
    </w:tbl>
    <w:p>
      <w:pPr>
        <w:pStyle w:val="52"/>
        <w:spacing w:beforeLines="50" w:before="156" w:afterLines="50" w:after="156" w:line="560" w:lineRule="exact"/>
        <w:ind w:left="640"/>
        <w:rPr>
          <w:rFonts w:ascii="方正黑体_GBK" w:eastAsia="方正黑体_GBK" w:cs="宋体"/>
          <w:b w:val="0"/>
          <w:kern w:val="0"/>
          <w:sz w:val="32"/>
          <w:szCs w:val="32"/>
        </w:rPr>
      </w:pPr>
      <w:bookmarkStart w:id="2" w:name="_Toc127438272"/>
    </w:p>
    <w:p>
      <w:pPr>
        <w:pStyle w:val="50"/>
        <w:spacing w:beforeLines="50" w:before="156" w:afterLines="50" w:after="156" w:line="560" w:lineRule="exact"/>
        <w:ind w:firstLineChars="200" w:firstLine="640"/>
        <w:rPr>
          <w:rFonts w:ascii="方正黑体_GBK" w:eastAsia="方正黑体_GBK" w:cs="宋体"/>
          <w:b w:val="0"/>
          <w:kern w:val="0"/>
          <w:sz w:val="32"/>
          <w:szCs w:val="32"/>
        </w:rPr>
      </w:pPr>
      <w:bookmarkStart w:id="3" w:name="_Toc127349954"/>
      <w:bookmarkEnd w:id="2"/>
      <w:r>
        <w:rPr>
          <w:rFonts w:ascii="方正黑体_GBK" w:eastAsia="方正黑体_GBK" w:cs="宋体" w:hint="eastAsia"/>
          <w:b w:val="0"/>
          <w:kern w:val="0"/>
          <w:sz w:val="32"/>
          <w:szCs w:val="32"/>
        </w:rPr>
        <w:t>欧盟修订共同农业政策和关于良好农业和环境条件标准规定</w:t>
      </w:r>
      <w:bookmarkEnd w:id="3"/>
    </w:p>
    <w:p>
      <w:pPr>
        <w:pStyle w:val="51"/>
        <w:ind w:firstLineChars="200" w:firstLine="640"/>
        <w:rPr>
          <w:rFonts w:eastAsia="方正仿宋_GBK"/>
          <w:kern w:val="0"/>
          <w:sz w:val="32"/>
          <w:szCs w:val="32"/>
        </w:rPr>
      </w:pPr>
      <w:r>
        <w:rPr>
          <w:rFonts w:eastAsia="方正仿宋_GBK" w:hint="eastAsia"/>
          <w:kern w:val="0"/>
          <w:sz w:val="32"/>
          <w:szCs w:val="32"/>
        </w:rPr>
        <w:t>欧盟官方公报2022年2月14日消息，2022年11月22日，欧盟委员会发布授权条例（EU）2023/330，修订和纠正授权条例（EU）2022/126，补充欧洲议会和理事会条例（EU）2021/2115，对成员国根据该条例在其2023年至2027年期间的CAP（common agricultural policy，共同农业政策）战略计划中规定的某些类型的干预措施提出额外要求，以及关于良好农业和环境条件（GAEC）标准1的比例规则。主要修订内容包括：（1）（EU）2022/126第14条修订为：当成员国在其CAP战略计划中纳入水果和蔬菜部门、葡萄酒部门、啤酒花部门、橄榄油和食用橄榄部门或条例</w:t>
      </w:r>
      <w:r>
        <w:rPr>
          <w:rFonts w:eastAsia="方正仿宋_GBK"/>
          <w:kern w:val="0"/>
          <w:sz w:val="32"/>
          <w:szCs w:val="32"/>
        </w:rPr>
        <w:t>(EU) 2021/2115</w:t>
      </w:r>
      <w:r>
        <w:rPr>
          <w:rFonts w:eastAsia="方正仿宋_GBK" w:hint="eastAsia"/>
          <w:kern w:val="0"/>
          <w:sz w:val="32"/>
          <w:szCs w:val="32"/>
        </w:rPr>
        <w:t>第42条第（f）点中提及的其他部门的促销、沟通和营销干预措施时，他们应在CAP战略计划中规定，所涵盖的干预措施实现以下目标之一：提高对欧盟农产品优点和适用于其生产方法的高标准的认识；提高欧盟农产品和欧盟生产的某些加工产品的竞争力和消费量，提高其在欧盟内外对葡萄酒以外行业的知名度；提高联盟内外对联盟质量计划的认识；增加欧盟农产品和欧盟生产的某些加工产品的市场份额，特别是关注具有最高增长潜力的第三国市场情况；提高消费者对水果和蔬菜行业中该条例第31（7）条所指的生产者组织、生产者组织协会、跨国生产者组织、跨国生产者协会及其子公司的品牌或商标的认识等。成员国应确保用于通用推广和质量标签推广的宣传材料带有欧盟规定的标志。（2）该条例应在其在《欧盟官方公报》上发表后的第七天生效。自2023年1月1日起适用。该条例应具有全部约束力，并直接适用于所有成员国。</w:t>
      </w:r>
    </w:p>
    <w:p>
      <w:pPr>
        <w:pStyle w:val="26"/>
        <w:spacing w:beforeLines="50" w:before="156" w:afterLines="50" w:after="156" w:line="560" w:lineRule="exact"/>
        <w:ind w:left="640"/>
        <w:rPr>
          <w:rFonts w:ascii="方正黑体_GBK" w:eastAsia="方正黑体_GBK" w:cs="宋体"/>
          <w:b w:val="0"/>
          <w:kern w:val="0"/>
          <w:sz w:val="32"/>
          <w:szCs w:val="32"/>
        </w:rPr>
      </w:pPr>
    </w:p>
    <w:p>
      <w:pPr>
        <w:pStyle w:val="48"/>
        <w:spacing w:beforeLines="50" w:before="156" w:afterLines="50" w:after="156" w:line="560" w:lineRule="exact"/>
        <w:ind w:firstLineChars="200" w:firstLine="640"/>
        <w:rPr>
          <w:rFonts w:ascii="方正黑体_GBK" w:eastAsia="方正黑体_GBK" w:cs="宋体"/>
          <w:b w:val="0"/>
          <w:kern w:val="0"/>
          <w:sz w:val="32"/>
          <w:szCs w:val="32"/>
        </w:rPr>
      </w:pPr>
      <w:bookmarkStart w:id="4" w:name="_Toc126748000"/>
      <w:r>
        <w:rPr>
          <w:rFonts w:ascii="方正黑体_GBK" w:eastAsia="方正黑体_GBK" w:cs="宋体" w:hint="eastAsia"/>
          <w:b w:val="0"/>
          <w:kern w:val="0"/>
          <w:sz w:val="32"/>
          <w:szCs w:val="32"/>
        </w:rPr>
        <w:t>欧洲食品安全局发布关于2023年数据收集的化学品监测报告指南</w:t>
      </w:r>
      <w:bookmarkEnd w:id="4"/>
    </w:p>
    <w:p>
      <w:pPr>
        <w:pStyle w:val="49"/>
        <w:ind w:firstLineChars="200" w:firstLine="640"/>
        <w:rPr>
          <w:rFonts w:eastAsia="方正仿宋_GBK"/>
          <w:kern w:val="0"/>
          <w:sz w:val="32"/>
          <w:szCs w:val="32"/>
        </w:rPr>
      </w:pPr>
      <w:r>
        <w:rPr>
          <w:rFonts w:eastAsia="方正仿宋_GBK" w:hint="eastAsia"/>
          <w:kern w:val="0"/>
          <w:sz w:val="32"/>
          <w:szCs w:val="32"/>
        </w:rPr>
        <w:t>2023年2月3日，欧洲食品安全局（EFSA）发布2023.EN-7851号技术文件，发布关于2023年数据收集的化学品监测报告指南。主要内容为：（1）该指南适用于于向EFSA报告化学品分析样本。它提供了如何使用标准样品描述（SSD2）数据模型向欧盟提交食品和饲料样品分析结果的指导，这些样品是在监测农药和兽药残留、污染物、食品添加剂和食品接触材料中的化学品（FCM）的控制活动期间采集的。（2）该指南不取代（但补充和更新了）EFSA关于标准样本描述的一般指南（SSD2）和数据交换指南（GDE2）的某些方面。它旨在为国家和欧盟层面的化学监测（ChemMon）数据的具体技术和立法要求以及数据质量验证提供指导。</w:t>
      </w:r>
    </w:p>
    <w:p>
      <w:pPr>
        <w:pStyle w:val="26"/>
        <w:spacing w:beforeLines="50" w:before="156" w:afterLines="50" w:after="156" w:line="560" w:lineRule="exact"/>
        <w:ind w:left="640"/>
        <w:rPr>
          <w:rFonts w:ascii="方正黑体_GBK" w:eastAsia="方正黑体_GBK" w:cs="宋体"/>
          <w:b w:val="0"/>
          <w:kern w:val="0"/>
          <w:sz w:val="32"/>
          <w:szCs w:val="32"/>
        </w:rPr>
      </w:pPr>
    </w:p>
    <w:p>
      <w:pPr>
        <w:pStyle w:val="46"/>
        <w:spacing w:beforeLines="50" w:before="156" w:afterLines="50" w:after="156" w:line="560" w:lineRule="exact"/>
        <w:ind w:left="640"/>
        <w:rPr>
          <w:rFonts w:ascii="方正黑体_GBK" w:eastAsia="方正黑体_GBK" w:cs="宋体"/>
          <w:b w:val="0"/>
          <w:kern w:val="0"/>
          <w:sz w:val="32"/>
          <w:szCs w:val="32"/>
        </w:rPr>
      </w:pPr>
      <w:bookmarkStart w:id="5" w:name="_Toc126314596"/>
      <w:r>
        <w:rPr>
          <w:rFonts w:ascii="方正黑体_GBK" w:eastAsia="方正黑体_GBK" w:cs="宋体" w:hint="eastAsia"/>
          <w:b w:val="0"/>
          <w:kern w:val="0"/>
          <w:sz w:val="32"/>
          <w:szCs w:val="32"/>
        </w:rPr>
        <w:t>欧盟发布化妆品中铝化合物使用的最终意见</w:t>
      </w:r>
      <w:bookmarkEnd w:id="5"/>
    </w:p>
    <w:p>
      <w:pPr>
        <w:pStyle w:val="47"/>
        <w:ind w:firstLineChars="200" w:firstLine="640"/>
        <w:rPr>
          <w:rFonts w:eastAsia="方正仿宋_GBK"/>
          <w:kern w:val="0"/>
          <w:sz w:val="32"/>
          <w:szCs w:val="32"/>
        </w:rPr>
      </w:pPr>
      <w:r>
        <w:rPr>
          <w:rFonts w:eastAsia="方正仿宋_GBK" w:hint="eastAsia"/>
          <w:kern w:val="0"/>
          <w:sz w:val="32"/>
          <w:szCs w:val="32"/>
        </w:rPr>
        <w:t>2023年2月2日，欧盟消费者安全科学委员会（SCCS）发布SCCS/1666/22号文件，即化妆品中铝化合物使用的最终意见。具体使用要求和范围部分如下表。该意见将在欧盟官方公报发布后生效。</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90"/>
        <w:gridCol w:w="3402"/>
        <w:gridCol w:w="3609"/>
      </w:tblGrid>
      <w:tr>
        <w:trPr>
          <w:trHeight w:val="20"/>
          <w:tblHeader/>
        </w:trPr>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b/>
                <w:sz w:val="24"/>
              </w:rPr>
            </w:pPr>
            <w:r>
              <w:rPr>
                <w:rFonts w:eastAsia="方正仿宋_GBK" w:hint="eastAsia"/>
                <w:b/>
                <w:sz w:val="24"/>
              </w:rPr>
              <w:t>物质名称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b/>
                <w:sz w:val="24"/>
              </w:rPr>
            </w:pPr>
            <w:r>
              <w:rPr>
                <w:rFonts w:eastAsia="方正仿宋_GBK" w:hint="eastAsia"/>
                <w:b/>
                <w:sz w:val="24"/>
              </w:rPr>
              <w:t>产品类型</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b/>
                <w:sz w:val="24"/>
              </w:rPr>
            </w:pPr>
            <w:r>
              <w:rPr>
                <w:rFonts w:eastAsia="方正仿宋_GBK" w:hint="eastAsia"/>
                <w:b/>
                <w:sz w:val="24"/>
              </w:rPr>
              <w:t>最大含量（以铝含量计）</w:t>
            </w:r>
          </w:p>
        </w:tc>
      </w:tr>
      <w:tr>
        <w:trPr>
          <w:trHeight w:val="20"/>
          <w:tblHeader/>
        </w:trPr>
        <w:tc>
          <w:tcPr>
            <w:tcW w:w="2590" w:type="dxa"/>
            <w:vMerge w:val="restart"/>
            <w:tcBorders>
              <w:top w:val="single" w:sz="4" w:space="0" w:color="auto"/>
              <w:left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铝化合物</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润肤露</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3.81%</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香水</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1.18%</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定型发胶</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1.19%</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洗发液</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7.14%</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牙膏</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3.18%</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口红</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14.62%</w:t>
            </w:r>
          </w:p>
        </w:tc>
      </w:tr>
      <w:tr>
        <w:trPr>
          <w:trHeight w:val="20"/>
          <w:tblHeader/>
        </w:trPr>
        <w:tc>
          <w:tcPr>
            <w:tcW w:w="2590" w:type="dxa"/>
            <w:vMerge/>
            <w:tcBorders>
              <w:left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睫毛膏</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3.13%</w:t>
            </w:r>
          </w:p>
        </w:tc>
      </w:tr>
      <w:tr>
        <w:trPr>
          <w:trHeight w:val="20"/>
          <w:tblHeader/>
        </w:trPr>
        <w:tc>
          <w:tcPr>
            <w:tcW w:w="2590" w:type="dxa"/>
            <w:vMerge/>
            <w:tcBorders>
              <w:left w:val="single" w:sz="4" w:space="0" w:color="auto"/>
              <w:bottom w:val="single" w:sz="4" w:space="0" w:color="auto"/>
              <w:right w:val="single" w:sz="4" w:space="0" w:color="auto"/>
            </w:tcBorders>
            <w:shd w:val="clear" w:color="auto" w:fill="auto"/>
            <w:vAlign w:val="center"/>
          </w:tc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指甲油</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7"/>
              <w:snapToGrid w:val="0"/>
              <w:spacing w:line="400" w:lineRule="exact"/>
              <w:jc w:val="center"/>
              <w:rPr>
                <w:rFonts w:eastAsia="方正仿宋_GBK"/>
                <w:sz w:val="24"/>
              </w:rPr>
            </w:pPr>
            <w:r>
              <w:rPr>
                <w:rFonts w:eastAsia="方正仿宋_GBK" w:hint="eastAsia"/>
                <w:sz w:val="24"/>
              </w:rPr>
              <w:t>3.62</w:t>
            </w:r>
            <w:r>
              <w:rPr>
                <w:rFonts w:eastAsia="方正仿宋_GBK"/>
                <w:sz w:val="24"/>
              </w:rPr>
              <w:t>%</w:t>
            </w:r>
          </w:p>
        </w:tc>
      </w:tr>
    </w:tbl>
    <w:p>
      <w:pPr>
        <w:pStyle w:val="26"/>
        <w:spacing w:beforeLines="50" w:before="156" w:afterLines="50" w:after="156" w:line="560" w:lineRule="exact"/>
        <w:ind w:left="640"/>
        <w:rPr>
          <w:rFonts w:ascii="方正黑体_GBK" w:eastAsia="方正黑体_GBK" w:cs="宋体"/>
          <w:b w:val="0"/>
          <w:kern w:val="0"/>
          <w:sz w:val="32"/>
          <w:szCs w:val="32"/>
        </w:rPr>
      </w:pPr>
    </w:p>
    <w:p>
      <w:pPr>
        <w:pStyle w:val="44"/>
        <w:spacing w:beforeLines="50" w:before="156" w:afterLines="50" w:after="156" w:line="560" w:lineRule="exact"/>
        <w:ind w:firstLineChars="200" w:firstLine="640"/>
        <w:rPr>
          <w:rFonts w:ascii="方正黑体_GBK" w:eastAsia="方正黑体_GBK" w:cs="宋体"/>
          <w:b w:val="0"/>
          <w:kern w:val="0"/>
          <w:sz w:val="32"/>
          <w:szCs w:val="32"/>
        </w:rPr>
      </w:pPr>
      <w:bookmarkStart w:id="6" w:name="_Toc66896294"/>
      <w:r>
        <w:rPr>
          <w:rFonts w:ascii="方正黑体_GBK" w:eastAsia="方正黑体_GBK" w:cs="宋体" w:hint="eastAsia"/>
          <w:b w:val="0"/>
          <w:kern w:val="0"/>
          <w:sz w:val="32"/>
          <w:szCs w:val="32"/>
        </w:rPr>
        <w:t>欧盟修订关于证明符合有机生产规则的证书模型有关规定</w:t>
      </w:r>
      <w:bookmarkEnd w:id="6"/>
    </w:p>
    <w:p>
      <w:pPr>
        <w:pStyle w:val="45"/>
        <w:ind w:firstLineChars="200" w:firstLine="640"/>
        <w:rPr>
          <w:rFonts w:eastAsia="方正仿宋_GBK" w:hint="eastAsia"/>
          <w:kern w:val="0"/>
          <w:sz w:val="32"/>
          <w:szCs w:val="32"/>
        </w:rPr>
      </w:pPr>
      <w:r>
        <w:rPr>
          <w:rFonts w:eastAsia="方正仿宋_GBK" w:hint="eastAsia"/>
          <w:kern w:val="0"/>
          <w:sz w:val="32"/>
          <w:szCs w:val="32"/>
        </w:rPr>
        <w:t>欧盟官方公报2023年2月1日消息，2022年11月24日修订欧洲议会和理事会法规（EU）2018/848关于证明符合有机生产规则的证书模型有关规定。主要内容为：（1）法规（EU）2018/848附件VI“根据关于有机生产和有机产品标签的法规（EU）2018/848第35（1）条颁发的证书”替换为本法规附件中的文本，该文本模板包括证书框架、强制项目和特殊选择性项目等；（2）该法规应在其在《欧盟官方公报》上发表后的第二十天生效。本法规应具有全部约束力，并直接适用于所有成员国。</w:t>
      </w:r>
    </w:p>
    <w:p>
      <w:pPr>
        <w:pStyle w:val="26"/>
        <w:spacing w:beforeLines="50" w:before="156" w:afterLines="50" w:after="156" w:line="560" w:lineRule="exact"/>
        <w:ind w:left="640"/>
        <w:rPr>
          <w:rFonts w:ascii="方正黑体_GBK" w:eastAsia="方正黑体_GBK" w:cs="宋体"/>
          <w:b w:val="0"/>
          <w:kern w:val="0"/>
          <w:sz w:val="32"/>
          <w:szCs w:val="32"/>
        </w:rPr>
      </w:pPr>
    </w:p>
    <w:p>
      <w:pPr>
        <w:pStyle w:val="42"/>
        <w:spacing w:beforeLines="50" w:before="156" w:afterLines="50" w:after="156" w:line="560" w:lineRule="exact"/>
        <w:ind w:left="640"/>
        <w:rPr>
          <w:rFonts w:ascii="方正黑体_GBK" w:eastAsia="方正黑体_GBK" w:cs="宋体"/>
          <w:b w:val="0"/>
          <w:kern w:val="0"/>
          <w:sz w:val="32"/>
          <w:szCs w:val="32"/>
        </w:rPr>
      </w:pPr>
      <w:bookmarkStart w:id="7" w:name="_Toc45635408"/>
      <w:r>
        <w:rPr>
          <w:rFonts w:ascii="方正黑体_GBK" w:eastAsia="方正黑体_GBK" w:cs="宋体" w:hint="eastAsia"/>
          <w:b w:val="0"/>
          <w:kern w:val="0"/>
          <w:sz w:val="32"/>
          <w:szCs w:val="32"/>
        </w:rPr>
        <w:t>欧盟修订部分食品阿维菌素最大残留限量</w:t>
      </w:r>
      <w:bookmarkEnd w:id="7"/>
    </w:p>
    <w:p>
      <w:pPr>
        <w:pStyle w:val="43"/>
        <w:ind w:firstLineChars="200" w:firstLine="640"/>
        <w:rPr>
          <w:rFonts w:eastAsia="方正仿宋_GBK"/>
          <w:kern w:val="0"/>
          <w:sz w:val="32"/>
          <w:szCs w:val="32"/>
        </w:rPr>
      </w:pPr>
      <w:r>
        <w:rPr>
          <w:rFonts w:eastAsia="方正仿宋_GBK" w:hint="eastAsia"/>
          <w:kern w:val="0"/>
          <w:sz w:val="32"/>
          <w:szCs w:val="32"/>
        </w:rPr>
        <w:t>欧盟官方公报</w:t>
      </w:r>
      <w:r>
        <w:rPr>
          <w:rFonts w:eastAsia="方正仿宋_GBK"/>
          <w:kern w:val="0"/>
          <w:sz w:val="32"/>
          <w:szCs w:val="32"/>
        </w:rPr>
        <w:t>2023</w:t>
      </w:r>
      <w:r>
        <w:rPr>
          <w:rFonts w:eastAsia="方正仿宋_GBK" w:hint="eastAsia"/>
          <w:kern w:val="0"/>
          <w:sz w:val="32"/>
          <w:szCs w:val="32"/>
        </w:rPr>
        <w:t>年1月31日消息，1月30日欧盟委员会通过（EU）2023/198条例，修订（EC） No</w:t>
      </w:r>
      <w:r>
        <w:rPr>
          <w:rFonts w:eastAsia="方正仿宋_GBK"/>
          <w:kern w:val="0"/>
          <w:sz w:val="32"/>
          <w:szCs w:val="32"/>
        </w:rPr>
        <w:t xml:space="preserve"> </w:t>
      </w:r>
      <w:r>
        <w:rPr>
          <w:rFonts w:eastAsia="方正仿宋_GBK" w:hint="eastAsia"/>
          <w:kern w:val="0"/>
          <w:sz w:val="32"/>
          <w:szCs w:val="32"/>
        </w:rPr>
        <w:t>396/2005条例的附件II关于某些产品中阿维菌素最大残留量的规定，发布后第20日生效，适用于所有成员国。主要修订内容如下：（1）（EC）No</w:t>
      </w:r>
      <w:r>
        <w:rPr>
          <w:rFonts w:eastAsia="方正仿宋_GBK"/>
          <w:kern w:val="0"/>
          <w:sz w:val="32"/>
          <w:szCs w:val="32"/>
        </w:rPr>
        <w:t xml:space="preserve"> </w:t>
      </w:r>
      <w:r>
        <w:rPr>
          <w:rFonts w:eastAsia="方正仿宋_GBK" w:hint="eastAsia"/>
          <w:kern w:val="0"/>
          <w:sz w:val="32"/>
          <w:szCs w:val="32"/>
        </w:rPr>
        <w:t>396/2005的附件II根据该条例的附件进行了修订；（2）关于除苹果、梨、草莓、西红柿、甜椒、黄瓜、西葫芦、生菜、莴苣/宽叶菊苣和欧芹以外的所有产品中的表面活性物质阿维菌素，（EC） No</w:t>
      </w:r>
      <w:r>
        <w:rPr>
          <w:rFonts w:eastAsia="方正仿宋_GBK"/>
          <w:kern w:val="0"/>
          <w:sz w:val="32"/>
          <w:szCs w:val="32"/>
        </w:rPr>
        <w:t xml:space="preserve"> </w:t>
      </w:r>
      <w:r>
        <w:rPr>
          <w:rFonts w:eastAsia="方正仿宋_GBK" w:hint="eastAsia"/>
          <w:kern w:val="0"/>
          <w:sz w:val="32"/>
          <w:szCs w:val="32"/>
        </w:rPr>
        <w:t>No396/2005在被该条例修订之前应继续适用于2023年8月20日之前在欧盟生产或进口到欧盟的产品。</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55"/>
        <w:gridCol w:w="2945"/>
        <w:gridCol w:w="2410"/>
        <w:gridCol w:w="2191"/>
      </w:tblGrid>
      <w:tr>
        <w:trPr>
          <w:trHeight w:val="20"/>
          <w:tblHeader/>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b/>
                <w:sz w:val="24"/>
              </w:rPr>
            </w:pPr>
            <w:r>
              <w:rPr>
                <w:rFonts w:eastAsia="方正仿宋_GBK" w:hint="eastAsia"/>
                <w:b/>
                <w:sz w:val="24"/>
              </w:rPr>
              <w:t>农兽药名</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b/>
                <w:sz w:val="24"/>
              </w:rPr>
            </w:pPr>
            <w:r>
              <w:rPr>
                <w:rFonts w:eastAsia="方正仿宋_GBK" w:hint="eastAsia"/>
                <w:b/>
                <w:sz w:val="24"/>
              </w:rPr>
              <w:t>食品名称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b/>
                <w:sz w:val="24"/>
              </w:rPr>
            </w:pPr>
            <w:r>
              <w:rPr>
                <w:rFonts w:eastAsia="方正仿宋_GBK" w:hint="eastAsia"/>
                <w:b/>
                <w:sz w:val="24"/>
              </w:rPr>
              <w:t>修订后最大残留限量（mg/kg）</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b/>
                <w:sz w:val="24"/>
              </w:rPr>
            </w:pPr>
            <w:r>
              <w:rPr>
                <w:rFonts w:eastAsia="方正仿宋_GBK" w:hint="eastAsia"/>
                <w:b/>
                <w:sz w:val="24"/>
              </w:rPr>
              <w:t>原最大残留限量（mg/kg）</w:t>
            </w:r>
          </w:p>
        </w:tc>
      </w:tr>
      <w:tr>
        <w:trPr>
          <w:trHeight w:val="20"/>
          <w:tblHeader/>
        </w:trPr>
        <w:tc>
          <w:tcPr>
            <w:tcW w:w="2055" w:type="dxa"/>
            <w:vMerge w:val="restart"/>
            <w:tcBorders>
              <w:top w:val="single" w:sz="4" w:space="0" w:color="auto"/>
              <w:left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阿维菌素（Abamectin）</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杏仁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0.01*</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lang w:eastAsia="ja-JP"/>
              </w:rPr>
            </w:pPr>
            <w:r>
              <w:rPr>
                <w:rFonts w:eastAsia="方正仿宋_GBK" w:hint="eastAsia"/>
                <w:sz w:val="24"/>
                <w:lang w:eastAsia="ja-JP"/>
              </w:rPr>
              <w:t>0.02</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番茄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0.015</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lang w:eastAsia="ja-JP"/>
              </w:rPr>
            </w:pPr>
            <w:r>
              <w:rPr>
                <w:rFonts w:eastAsia="方正仿宋_GBK" w:hint="eastAsia"/>
                <w:sz w:val="24"/>
                <w:lang w:eastAsia="ja-JP"/>
              </w:rPr>
              <w:t>0.09</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棉籽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lang w:eastAsia="ja-JP"/>
              </w:rPr>
            </w:pPr>
            <w:r>
              <w:rPr>
                <w:rFonts w:eastAsia="方正仿宋_GBK" w:hint="eastAsia"/>
                <w:sz w:val="24"/>
                <w:lang w:eastAsia="ja-JP"/>
              </w:rPr>
              <w:t>0.01*</w:t>
            </w:r>
          </w:p>
        </w:tc>
      </w:tr>
      <w:tr>
        <w:trPr>
          <w:trHeight w:val="20"/>
          <w:tblHeader/>
        </w:trPr>
        <w:tc>
          <w:tcPr>
            <w:tcW w:w="2055" w:type="dxa"/>
            <w:vMerge/>
            <w:tcBorders>
              <w:left w:val="single" w:sz="4" w:space="0" w:color="auto"/>
              <w:bottom w:val="single" w:sz="4" w:space="0" w:color="auto"/>
              <w:right w:val="single" w:sz="4" w:space="0" w:color="auto"/>
            </w:tcBorders>
            <w:shd w:val="clear" w:color="auto" w:fill="auto"/>
            <w:vAlign w:val="center"/>
          </w:tcP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菜豆（含豆荚）</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rPr>
            </w:pPr>
            <w:r>
              <w:rPr>
                <w:rFonts w:eastAsia="方正仿宋_GBK" w:hint="eastAsia"/>
                <w:sz w:val="24"/>
              </w:rPr>
              <w:t>0.08</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43"/>
              <w:snapToGrid w:val="0"/>
              <w:spacing w:line="400" w:lineRule="exact"/>
              <w:jc w:val="center"/>
              <w:rPr>
                <w:rFonts w:eastAsia="方正仿宋_GBK"/>
                <w:sz w:val="24"/>
                <w:lang w:eastAsia="ja-JP"/>
              </w:rPr>
            </w:pPr>
            <w:r>
              <w:rPr>
                <w:rFonts w:eastAsia="方正仿宋_GBK" w:hint="eastAsia"/>
                <w:sz w:val="24"/>
                <w:lang w:eastAsia="ja-JP"/>
              </w:rPr>
              <w:t>0.03</w:t>
            </w:r>
          </w:p>
        </w:tc>
      </w:tr>
    </w:tbl>
    <w:p>
      <w:pPr>
        <w:pStyle w:val="43"/>
        <w:snapToGrid w:val="0"/>
        <w:spacing w:line="400" w:lineRule="exact"/>
        <w:jc w:val="left"/>
        <w:rPr>
          <w:rFonts w:eastAsia="方正仿宋_GBK"/>
          <w:sz w:val="24"/>
        </w:rPr>
      </w:pPr>
      <w:r>
        <w:rPr>
          <w:rFonts w:eastAsia="方正仿宋_GBK" w:hint="eastAsia"/>
          <w:sz w:val="24"/>
        </w:rPr>
        <w:t>*为检测低限</w:t>
      </w:r>
    </w:p>
    <w:p>
      <w:pPr>
        <w:pStyle w:val="26"/>
        <w:spacing w:beforeLines="50" w:before="156" w:afterLines="50" w:after="156" w:line="560" w:lineRule="exact"/>
        <w:ind w:left="640"/>
        <w:rPr>
          <w:rFonts w:ascii="方正黑体_GBK" w:eastAsia="方正黑体_GBK" w:cs="宋体"/>
          <w:b w:val="0"/>
          <w:kern w:val="0"/>
          <w:sz w:val="32"/>
          <w:szCs w:val="32"/>
        </w:rPr>
      </w:pPr>
    </w:p>
    <w:p>
      <w:pPr>
        <w:pStyle w:val="40"/>
        <w:spacing w:beforeLines="50" w:before="156" w:afterLines="50" w:after="156" w:line="560" w:lineRule="exact"/>
        <w:ind w:firstLineChars="200" w:firstLine="640"/>
        <w:rPr>
          <w:rFonts w:ascii="方正黑体_GBK" w:eastAsia="方正黑体_GBK" w:cs="宋体"/>
          <w:b w:val="0"/>
          <w:kern w:val="0"/>
          <w:sz w:val="32"/>
          <w:szCs w:val="32"/>
        </w:rPr>
      </w:pPr>
      <w:bookmarkStart w:id="8" w:name="_Toc22603746"/>
      <w:r>
        <w:rPr>
          <w:rFonts w:ascii="方正黑体_GBK" w:eastAsia="方正黑体_GBK" w:cs="宋体" w:hint="eastAsia"/>
          <w:b w:val="0"/>
          <w:kern w:val="0"/>
          <w:sz w:val="32"/>
          <w:szCs w:val="32"/>
        </w:rPr>
        <w:t>欧盟确定2023年适用于地中海和黑海的某些鱼类种群和鱼群的捕捞机会</w:t>
      </w:r>
      <w:bookmarkEnd w:id="8"/>
    </w:p>
    <w:p>
      <w:pPr>
        <w:pStyle w:val="41"/>
        <w:ind w:firstLineChars="200" w:firstLine="640"/>
        <w:rPr>
          <w:rFonts w:eastAsia="方正仿宋_GBK" w:hint="eastAsia"/>
          <w:kern w:val="0"/>
          <w:sz w:val="32"/>
          <w:szCs w:val="32"/>
        </w:rPr>
      </w:pPr>
      <w:r>
        <w:rPr>
          <w:rFonts w:eastAsia="方正仿宋_GBK" w:hint="eastAsia"/>
          <w:kern w:val="0"/>
          <w:sz w:val="32"/>
          <w:szCs w:val="32"/>
        </w:rPr>
        <w:t>欧盟官方公报2023年1月31日消息，1月30日，欧洲理事会发布条例（EU）2023/195，确定2023年适用于地中海和黑海的某些鱼种和鱼群的捕捞机会，并对（欧盟）2022/110号条例中适用于地中海和黑海的2022年的捕捞机会进行修正。主要内容包括：（1）条例确定了2023年地中海和黑海某些鱼类种群和鱼群的捕捞机会。它还明确了2022年适用（EU）2022/110条例规定的与拖网渔船努力程度制度有关的补偿机制；（2）适用范围。该条例适用于在地中海和黑海作业普通海豚（Coryphaena</w:t>
      </w:r>
      <w:r>
        <w:rPr>
          <w:rFonts w:eastAsia="方正仿宋_GBK"/>
          <w:kern w:val="0"/>
          <w:sz w:val="32"/>
          <w:szCs w:val="32"/>
        </w:rPr>
        <w:t xml:space="preserve"> </w:t>
      </w:r>
      <w:r>
        <w:rPr>
          <w:rFonts w:eastAsia="方正仿宋_GBK" w:hint="eastAsia"/>
          <w:kern w:val="0"/>
          <w:sz w:val="32"/>
          <w:szCs w:val="32"/>
        </w:rPr>
        <w:t>hippurus）、深水玫瑰虾（Parapenaeus</w:t>
      </w:r>
      <w:r>
        <w:rPr>
          <w:rFonts w:eastAsia="方正仿宋_GBK"/>
          <w:kern w:val="0"/>
          <w:sz w:val="32"/>
          <w:szCs w:val="32"/>
        </w:rPr>
        <w:t xml:space="preserve"> </w:t>
      </w:r>
      <w:r>
        <w:rPr>
          <w:rFonts w:eastAsia="方正仿宋_GBK" w:hint="eastAsia"/>
          <w:kern w:val="0"/>
          <w:sz w:val="32"/>
          <w:szCs w:val="32"/>
        </w:rPr>
        <w:t>longirostris）、巨型红虾（Aristaeomorpha</w:t>
      </w:r>
      <w:r>
        <w:rPr>
          <w:rFonts w:eastAsia="方正仿宋_GBK"/>
          <w:kern w:val="0"/>
          <w:sz w:val="32"/>
          <w:szCs w:val="32"/>
        </w:rPr>
        <w:t xml:space="preserve"> </w:t>
      </w:r>
      <w:r>
        <w:rPr>
          <w:rFonts w:eastAsia="方正仿宋_GBK" w:hint="eastAsia"/>
          <w:kern w:val="0"/>
          <w:sz w:val="32"/>
          <w:szCs w:val="32"/>
        </w:rPr>
        <w:t>foliacea）、欧洲无须鳕（Merluccius</w:t>
      </w:r>
      <w:r>
        <w:rPr>
          <w:rFonts w:eastAsia="方正仿宋_GBK"/>
          <w:kern w:val="0"/>
          <w:sz w:val="32"/>
          <w:szCs w:val="32"/>
        </w:rPr>
        <w:t xml:space="preserve"> </w:t>
      </w:r>
      <w:r>
        <w:rPr>
          <w:rFonts w:eastAsia="方正仿宋_GBK" w:hint="eastAsia"/>
          <w:kern w:val="0"/>
          <w:sz w:val="32"/>
          <w:szCs w:val="32"/>
        </w:rPr>
        <w:t>merluccius）、挪威龙虾（Nephrops</w:t>
      </w:r>
      <w:r>
        <w:rPr>
          <w:rFonts w:eastAsia="方正仿宋_GBK"/>
          <w:kern w:val="0"/>
          <w:sz w:val="32"/>
          <w:szCs w:val="32"/>
        </w:rPr>
        <w:t xml:space="preserve"> </w:t>
      </w:r>
      <w:r>
        <w:rPr>
          <w:rFonts w:eastAsia="方正仿宋_GBK" w:hint="eastAsia"/>
          <w:kern w:val="0"/>
          <w:sz w:val="32"/>
          <w:szCs w:val="32"/>
        </w:rPr>
        <w:t>norvegicus）和红鲻鱼（Mullus</w:t>
      </w:r>
      <w:r>
        <w:rPr>
          <w:rFonts w:eastAsia="方正仿宋_GBK"/>
          <w:kern w:val="0"/>
          <w:sz w:val="32"/>
          <w:szCs w:val="32"/>
        </w:rPr>
        <w:t xml:space="preserve"> </w:t>
      </w:r>
      <w:r>
        <w:rPr>
          <w:rFonts w:eastAsia="方正仿宋_GBK" w:hint="eastAsia"/>
          <w:kern w:val="0"/>
          <w:sz w:val="32"/>
          <w:szCs w:val="32"/>
        </w:rPr>
        <w:t>barbatus）等相关鱼类资源的欧盟渔船；（3）规定了国际水域、总可捕量、捕捞配额等定义；（4）捕鱼区域规定。如：GFCM地理分区是指欧洲议会和理事会第条例（EU）No</w:t>
      </w:r>
      <w:r>
        <w:rPr>
          <w:rFonts w:eastAsia="方正仿宋_GBK"/>
          <w:kern w:val="0"/>
          <w:sz w:val="32"/>
          <w:szCs w:val="32"/>
        </w:rPr>
        <w:t xml:space="preserve"> </w:t>
      </w:r>
      <w:r>
        <w:rPr>
          <w:rFonts w:eastAsia="方正仿宋_GBK" w:hint="eastAsia"/>
          <w:kern w:val="0"/>
          <w:sz w:val="32"/>
          <w:szCs w:val="32"/>
        </w:rPr>
        <w:t>1343/2011附件一中所定义的区域；地中海是指（EU）No</w:t>
      </w:r>
      <w:r>
        <w:rPr>
          <w:rFonts w:eastAsia="方正仿宋_GBK"/>
          <w:kern w:val="0"/>
          <w:sz w:val="32"/>
          <w:szCs w:val="32"/>
        </w:rPr>
        <w:t xml:space="preserve"> </w:t>
      </w:r>
      <w:r>
        <w:rPr>
          <w:rFonts w:eastAsia="方正仿宋_GBK" w:hint="eastAsia"/>
          <w:kern w:val="0"/>
          <w:sz w:val="32"/>
          <w:szCs w:val="32"/>
        </w:rPr>
        <w:t>1343/2011附件一中定义的GFCM地理分区1至27的水域；黑海是指（EU）No</w:t>
      </w:r>
      <w:r>
        <w:rPr>
          <w:rFonts w:eastAsia="方正仿宋_GBK"/>
          <w:kern w:val="0"/>
          <w:sz w:val="32"/>
          <w:szCs w:val="32"/>
        </w:rPr>
        <w:t xml:space="preserve"> </w:t>
      </w:r>
      <w:r>
        <w:rPr>
          <w:rFonts w:eastAsia="方正仿宋_GBK" w:hint="eastAsia"/>
          <w:kern w:val="0"/>
          <w:sz w:val="32"/>
          <w:szCs w:val="32"/>
        </w:rPr>
        <w:t>1343/2011附件一中定义的地中海沿岸地理分区29的水域；（5）规定了相关鱼类资源的具体捕捞方式、配额、禁渔期等规定；（6）条例应在其在欧盟官方公报上发表的次日生效。自2023年1月1日起适用；然而，第24条自2022年1月1日起适用。该条例应具有全部约束力，并直接适用于所有成员国。</w:t>
      </w:r>
    </w:p>
    <w:p>
      <w:pPr>
        <w:pStyle w:val="40"/>
        <w:spacing w:beforeLines="50" w:before="156" w:afterLines="50" w:after="156" w:line="560" w:lineRule="exact"/>
        <w:ind w:left="640"/>
        <w:rPr>
          <w:rFonts w:ascii="方正黑体_GBK" w:eastAsia="方正黑体_GBK" w:cs="宋体"/>
          <w:b w:val="0"/>
          <w:kern w:val="0"/>
          <w:sz w:val="32"/>
          <w:szCs w:val="32"/>
        </w:rPr>
      </w:pPr>
      <w:bookmarkStart w:id="9" w:name="_Toc22603747"/>
    </w:p>
    <w:p>
      <w:pPr>
        <w:pStyle w:val="40"/>
        <w:spacing w:beforeLines="50" w:before="156" w:afterLines="50" w:after="156" w:line="560" w:lineRule="exact"/>
        <w:ind w:firstLineChars="200" w:firstLine="640"/>
        <w:rPr>
          <w:rFonts w:ascii="方正黑体_GBK" w:eastAsia="方正黑体_GBK" w:cs="宋体"/>
          <w:b w:val="0"/>
          <w:kern w:val="0"/>
          <w:sz w:val="32"/>
          <w:szCs w:val="32"/>
        </w:rPr>
      </w:pPr>
      <w:r>
        <w:rPr>
          <w:rFonts w:ascii="方正黑体_GBK" w:eastAsia="方正黑体_GBK" w:cs="宋体" w:hint="eastAsia"/>
          <w:b w:val="0"/>
          <w:kern w:val="0"/>
          <w:sz w:val="32"/>
          <w:szCs w:val="32"/>
        </w:rPr>
        <w:t>欧盟确定2023年适用于联盟水域的某些鱼类种群的捕捞规定</w:t>
      </w:r>
      <w:bookmarkEnd w:id="9"/>
    </w:p>
    <w:p>
      <w:pPr>
        <w:pStyle w:val="41"/>
        <w:ind w:firstLineChars="200" w:firstLine="640"/>
        <w:rPr>
          <w:rFonts w:eastAsia="方正仿宋_GBK"/>
          <w:kern w:val="0"/>
          <w:sz w:val="32"/>
          <w:szCs w:val="32"/>
        </w:rPr>
      </w:pPr>
      <w:r>
        <w:rPr>
          <w:rFonts w:eastAsia="方正仿宋_GBK" w:hint="eastAsia"/>
          <w:kern w:val="0"/>
          <w:sz w:val="32"/>
          <w:szCs w:val="32"/>
        </w:rPr>
        <w:t>欧盟官方公报2023年1月31日消息，1月30日，欧洲理事会发布条例（EU）2023/194，确定2023年适用于联盟水域的某些鱼类种群的捕捞机会，以及适用于联盟渔船的某些非联盟水域的捕捞机会；以及确定2023年和2024年某些深海鱼类种群的捕捞机会。条例主要内容包括：（1）主题事项。条例规定了在联盟水域和联盟渔船在某些非联盟水域对某些鱼类种群，包括某些深海鱼类种群的捕捞机会。2.第1款中提到的捕捞机会包括：（a）2023年的捕捞限额，以及在本条例中规定的2024年的捕捞限额。（b）2023年的捕捞强度限制，但附件二中规定的捕捞强度限制从2023年2月1日至2024年1月31日适用。（c）2022年12月1日至2023年11月30日期间南极海生委公约地区某些种群和SIOFA协定地区某些种群的捕捞机会；（2）适用范围。条例适用于下列渔船：联盟渔船；和在联盟水域的第三国船只；本条例也适用于相关条款中明确提及的某些休闲渔业；以及岸上的商业渔业；（3）规定了国际水域、总可捕量、捕捞配额等定义；（4）规定了国际海洋考察理事会（ICES）区等捕捞区域规定。其中国际海洋考察理事会（ICES）区是指欧洲议会和理事会条例（EC）No</w:t>
      </w:r>
      <w:r>
        <w:rPr>
          <w:rFonts w:eastAsia="方正仿宋_GBK"/>
          <w:kern w:val="0"/>
          <w:sz w:val="32"/>
          <w:szCs w:val="32"/>
        </w:rPr>
        <w:t xml:space="preserve"> </w:t>
      </w:r>
      <w:r>
        <w:rPr>
          <w:rFonts w:eastAsia="方正仿宋_GBK" w:hint="eastAsia"/>
          <w:kern w:val="0"/>
          <w:sz w:val="32"/>
          <w:szCs w:val="32"/>
        </w:rPr>
        <w:t>218/2009附件三中规定的地理区域；（5）落地渔获物和副渔获物的条件等。（6）禁止捕捞规定。如禁止捕捞海洋白鳍鲨，禁止在美洲热带金枪鱼委员会公约区域内捕捞海洋白鳍鲨（Carcharhinus</w:t>
      </w:r>
      <w:r>
        <w:rPr>
          <w:rFonts w:eastAsia="方正仿宋_GBK"/>
          <w:kern w:val="0"/>
          <w:sz w:val="32"/>
          <w:szCs w:val="32"/>
        </w:rPr>
        <w:t xml:space="preserve"> </w:t>
      </w:r>
      <w:r>
        <w:rPr>
          <w:rFonts w:eastAsia="方正仿宋_GBK" w:hint="eastAsia"/>
          <w:kern w:val="0"/>
          <w:sz w:val="32"/>
          <w:szCs w:val="32"/>
        </w:rPr>
        <w:t>longimanus），并禁止在船上、转运、上岸、储存、要约出售或出售在该区域捕获的海洋白鳍鲨鱼的任何部分或全部尸体；意外捕获时，不得伤害海洋白鳍鲨的标本，并应由渔船经营者及时释放；渔船经营人应记录释放数量，并注明状态（死亡或活着），并向其国民所在的成员国报告该信息；成员国应在2023年1月31日之前将2022年期间收集的信息传送给委员会；（6）该条例其在欧盟官方公报上发布之日起生效；适用期限为2023年1月1日至2023年12月31日，并规定了特殊不适用事项。该条例应具有全部约束力，并直接适用于所有成员国。</w:t>
      </w:r>
    </w:p>
    <w:p>
      <w:pPr>
        <w:pStyle w:val="26"/>
        <w:spacing w:beforeLines="50" w:before="156" w:afterLines="50" w:after="156" w:line="560" w:lineRule="exact"/>
        <w:ind w:left="640"/>
        <w:rPr>
          <w:rFonts w:ascii="方正黑体_GBK" w:eastAsia="方正黑体_GBK" w:cs="宋体"/>
          <w:kern w:val="0"/>
          <w:sz w:val="32"/>
          <w:szCs w:val="32"/>
        </w:rPr>
      </w:pPr>
    </w:p>
    <w:p>
      <w:pPr>
        <w:pStyle w:val="38"/>
        <w:spacing w:beforeLines="50" w:before="156" w:afterLines="50" w:after="156" w:line="560" w:lineRule="exact"/>
        <w:ind w:left="640"/>
        <w:rPr>
          <w:rFonts w:ascii="方正黑体_GBK" w:eastAsia="方正黑体_GBK" w:cs="宋体"/>
          <w:b w:val="0"/>
          <w:kern w:val="0"/>
          <w:sz w:val="32"/>
          <w:szCs w:val="32"/>
        </w:rPr>
      </w:pPr>
      <w:bookmarkStart w:id="10" w:name="_Toc125973508"/>
      <w:r>
        <w:rPr>
          <w:rFonts w:ascii="方正黑体_GBK" w:eastAsia="方正黑体_GBK" w:cs="宋体" w:hint="eastAsia"/>
          <w:b w:val="0"/>
          <w:kern w:val="0"/>
          <w:sz w:val="32"/>
          <w:szCs w:val="32"/>
        </w:rPr>
        <w:t>欧盟修订部分食品中噻草酮等农兽药的最大残留限量</w:t>
      </w:r>
      <w:bookmarkEnd w:id="10"/>
    </w:p>
    <w:p>
      <w:pPr>
        <w:pStyle w:val="39"/>
        <w:ind w:firstLineChars="200" w:firstLine="640"/>
        <w:rPr>
          <w:rFonts w:eastAsia="方正仿宋_GBK"/>
          <w:kern w:val="0"/>
          <w:sz w:val="32"/>
          <w:szCs w:val="32"/>
        </w:rPr>
      </w:pPr>
      <w:r>
        <w:rPr>
          <w:rFonts w:eastAsia="方正仿宋_GBK" w:hint="eastAsia"/>
          <w:kern w:val="0"/>
          <w:sz w:val="32"/>
          <w:szCs w:val="32"/>
        </w:rPr>
        <w:t>欧盟官方公报</w:t>
      </w:r>
      <w:r>
        <w:rPr>
          <w:rFonts w:eastAsia="方正仿宋_GBK"/>
          <w:kern w:val="0"/>
          <w:sz w:val="32"/>
          <w:szCs w:val="32"/>
        </w:rPr>
        <w:t>2023</w:t>
      </w:r>
      <w:r>
        <w:rPr>
          <w:rFonts w:eastAsia="方正仿宋_GBK" w:hint="eastAsia"/>
          <w:kern w:val="0"/>
          <w:sz w:val="32"/>
          <w:szCs w:val="32"/>
        </w:rPr>
        <w:t>年1月27日消息，1月26日欧盟委员会通过（EU）2023/173条例修订部分食品中噻草酮等农兽药的最大残留限量，对（EC）No</w:t>
      </w:r>
      <w:r>
        <w:rPr>
          <w:rFonts w:eastAsia="方正仿宋_GBK"/>
          <w:kern w:val="0"/>
          <w:sz w:val="32"/>
          <w:szCs w:val="32"/>
        </w:rPr>
        <w:t xml:space="preserve"> </w:t>
      </w:r>
      <w:r>
        <w:rPr>
          <w:rFonts w:eastAsia="方正仿宋_GBK" w:hint="eastAsia"/>
          <w:kern w:val="0"/>
          <w:sz w:val="32"/>
          <w:szCs w:val="32"/>
        </w:rPr>
        <w:t>396/2005法规的附件II和III进行了修订，自发布后第20日生效，适用于所有成员国，部分修订内容见下表。</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6"/>
        <w:gridCol w:w="1701"/>
        <w:gridCol w:w="2126"/>
        <w:gridCol w:w="1908"/>
      </w:tblGrid>
      <w:tr>
        <w:trPr>
          <w:trHeight w:val="20"/>
          <w:tblHeader/>
        </w:trPr>
        <w:tc>
          <w:tcPr>
            <w:tcW w:w="386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b/>
                <w:sz w:val="24"/>
              </w:rPr>
            </w:pPr>
            <w:r>
              <w:rPr>
                <w:rFonts w:eastAsia="方正仿宋_GBK" w:hint="eastAsia"/>
                <w:b/>
                <w:sz w:val="24"/>
              </w:rPr>
              <w:t>农兽药名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b/>
                <w:sz w:val="24"/>
              </w:rPr>
            </w:pPr>
            <w:r>
              <w:rPr>
                <w:rFonts w:eastAsia="方正仿宋_GBK" w:hint="eastAsia"/>
                <w:b/>
                <w:sz w:val="24"/>
              </w:rPr>
              <w:t>食品名称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b/>
                <w:sz w:val="24"/>
              </w:rPr>
            </w:pPr>
            <w:r>
              <w:rPr>
                <w:rFonts w:eastAsia="方正仿宋_GBK" w:hint="eastAsia"/>
                <w:b/>
                <w:sz w:val="24"/>
              </w:rPr>
              <w:t>修订后最大残留限量（mg/kg）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b/>
                <w:sz w:val="24"/>
              </w:rPr>
            </w:pPr>
            <w:r>
              <w:rPr>
                <w:rFonts w:eastAsia="方正仿宋_GBK" w:hint="eastAsia"/>
                <w:b/>
                <w:sz w:val="24"/>
              </w:rPr>
              <w:t>原最大残留限量（mg/kg）</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1-甲基-3-（三氟甲基）-1-吡唑-4-甲酰胺（1-methyl-3-（trifluoromethyl）-1Hpyrazole-4-carboxamide）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猪肉、牛奶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蜂产品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噻草酮 （Cycloxydim）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木本坚果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0.09*</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866" w:type="dxa"/>
            <w:vMerge/>
            <w:tcBorders>
              <w:left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1.5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1</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牛奶</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0.06</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丁氟螨酯（cyflumetofen）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洋葱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牛肝</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0.02</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氟氯氰菊酯（Cyfluthrin）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木本坚果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0.02*</w:t>
            </w:r>
          </w:p>
        </w:tc>
      </w:tr>
      <w:tr>
        <w:trPr>
          <w:trHeight w:val="20"/>
          <w:tblHeader/>
        </w:trPr>
        <w:tc>
          <w:tcPr>
            <w:tcW w:w="3866" w:type="dxa"/>
            <w:vMerge/>
            <w:tcBorders>
              <w:left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番茄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猪肉</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吡噻菌胺（Penthiopyrad）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韭菜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20</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0.01*</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芹菜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0.01*</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0.6</w:t>
            </w:r>
          </w:p>
        </w:tc>
      </w:tr>
      <w:tr>
        <w:trPr>
          <w:trHeight w:val="20"/>
          <w:tblHeader/>
        </w:trPr>
        <w:tc>
          <w:tcPr>
            <w:tcW w:w="3866" w:type="dxa"/>
            <w:vMerge w:val="restart"/>
            <w:tcBorders>
              <w:top w:val="single" w:sz="4" w:space="0" w:color="auto"/>
              <w:left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溴谷隆（Metobromuron）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生菜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0.02*</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0.01*</w:t>
            </w:r>
          </w:p>
        </w:tc>
      </w:tr>
      <w:tr>
        <w:trPr>
          <w:trHeight w:val="20"/>
          <w:tblHeader/>
        </w:trPr>
        <w:tc>
          <w:tcPr>
            <w:tcW w:w="3866" w:type="dxa"/>
            <w:vMerge/>
            <w:tcBorders>
              <w:left w:val="single" w:sz="4" w:space="0" w:color="auto"/>
              <w:bottom w:val="single" w:sz="4" w:space="0" w:color="auto"/>
              <w:right w:val="single" w:sz="4" w:space="0" w:color="auto"/>
            </w:tcBorders>
            <w:shd w:val="clear" w:color="auto" w:fill="auto"/>
            <w:vAlign w:val="center"/>
          </w:tc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蜂蜜</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rPr>
            </w:pPr>
            <w:r>
              <w:rPr>
                <w:rFonts w:eastAsia="方正仿宋_GBK" w:hint="eastAsia"/>
                <w:sz w:val="24"/>
              </w:rPr>
              <w:t>0.05*</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9"/>
              <w:snapToGrid w:val="0"/>
              <w:spacing w:line="400" w:lineRule="exact"/>
              <w:jc w:val="center"/>
              <w:rPr>
                <w:rFonts w:eastAsia="方正仿宋_GBK"/>
                <w:sz w:val="24"/>
                <w:lang w:eastAsia="ja-JP"/>
              </w:rPr>
            </w:pPr>
            <w:r>
              <w:rPr>
                <w:rFonts w:eastAsia="方正仿宋_GBK" w:hint="eastAsia"/>
                <w:sz w:val="24"/>
                <w:lang w:eastAsia="ja-JP"/>
              </w:rPr>
              <w:t>0.01*</w:t>
            </w:r>
          </w:p>
        </w:tc>
      </w:tr>
    </w:tbl>
    <w:p>
      <w:pPr>
        <w:pStyle w:val="39"/>
        <w:ind w:firstLineChars="200" w:firstLine="480"/>
        <w:rPr>
          <w:rFonts w:eastAsia="方正仿宋_GBK"/>
          <w:kern w:val="0"/>
          <w:sz w:val="32"/>
          <w:szCs w:val="32"/>
        </w:rPr>
      </w:pPr>
      <w:r>
        <w:rPr>
          <w:rFonts w:eastAsia="方正仿宋_GBK" w:hint="eastAsia"/>
          <w:sz w:val="24"/>
        </w:rPr>
        <w:t>注：*为检测低限</w:t>
      </w:r>
    </w:p>
    <w:p>
      <w:pPr>
        <w:pStyle w:val="26"/>
        <w:spacing w:beforeLines="50" w:before="156" w:afterLines="50" w:after="156" w:line="560" w:lineRule="exact"/>
        <w:ind w:left="640"/>
        <w:rPr>
          <w:rFonts w:ascii="方正黑体_GBK" w:eastAsia="方正黑体_GBK" w:cs="宋体"/>
          <w:b w:val="0"/>
          <w:kern w:val="0"/>
          <w:sz w:val="32"/>
          <w:szCs w:val="32"/>
        </w:rPr>
      </w:pPr>
    </w:p>
    <w:p>
      <w:pPr>
        <w:pStyle w:val="36"/>
        <w:spacing w:beforeLines="50" w:before="156" w:afterLines="50" w:after="156" w:line="560" w:lineRule="exact"/>
        <w:ind w:left="640"/>
        <w:rPr>
          <w:rFonts w:ascii="方正黑体_GBK" w:eastAsia="方正黑体_GBK" w:cs="宋体"/>
          <w:b w:val="0"/>
          <w:kern w:val="0"/>
          <w:sz w:val="32"/>
          <w:szCs w:val="32"/>
        </w:rPr>
      </w:pPr>
      <w:bookmarkStart w:id="11" w:name="_Toc125895385"/>
      <w:r>
        <w:rPr>
          <w:rFonts w:ascii="方正黑体_GBK" w:eastAsia="方正黑体_GBK" w:cs="宋体" w:hint="eastAsia"/>
          <w:b w:val="0"/>
          <w:kern w:val="0"/>
          <w:sz w:val="32"/>
          <w:szCs w:val="32"/>
        </w:rPr>
        <w:t>欧盟修订食品和食品配料生产中使用的萃取溶剂规定</w:t>
      </w:r>
      <w:bookmarkEnd w:id="11"/>
    </w:p>
    <w:p>
      <w:pPr>
        <w:pStyle w:val="37"/>
        <w:ind w:firstLineChars="200" w:firstLine="640"/>
        <w:rPr>
          <w:rFonts w:eastAsia="方正仿宋_GBK"/>
          <w:kern w:val="0"/>
          <w:sz w:val="32"/>
          <w:szCs w:val="32"/>
        </w:rPr>
      </w:pPr>
      <w:r>
        <w:rPr>
          <w:rFonts w:eastAsia="方正仿宋_GBK"/>
          <w:kern w:val="0"/>
          <w:sz w:val="32"/>
          <w:szCs w:val="32"/>
        </w:rPr>
        <w:t>2023年1月27日，欧盟官方公报发布（EU）2023/175号法规，修订2009/32/EC指令关于食品和食品配料生产中使用的萃取溶剂规定，增加2-甲基氧杂环戊烷作为萃取溶剂使用。主要内容：（1）授权使用2-甲基氧杂环戊烷作为萃取溶剂用于脂肪、油或可可脂的生产提取，用于制备脱脂蛋白质产品、脱脂面粉、脱脂谷物胚芽和天然调味料的调味剂。对指令2009/32/EC的附件I进行修订，在第二部分中，在己烷项目之后插入2-甲基氧杂环戊烷内容如下表所示；（2）第四部分</w:t>
      </w:r>
      <w:r>
        <w:rPr>
          <w:rFonts w:eastAsia="方正仿宋_GBK" w:hint="eastAsia"/>
          <w:kern w:val="0"/>
          <w:sz w:val="32"/>
          <w:szCs w:val="32"/>
        </w:rPr>
        <w:t>增加了</w:t>
      </w:r>
      <w:r>
        <w:rPr>
          <w:rFonts w:eastAsia="方正仿宋_GBK"/>
          <w:kern w:val="0"/>
          <w:sz w:val="32"/>
          <w:szCs w:val="32"/>
        </w:rPr>
        <w:t>2-</w:t>
      </w:r>
      <w:r>
        <w:rPr>
          <w:rFonts w:eastAsia="方正仿宋_GBK" w:hint="eastAsia"/>
          <w:kern w:val="0"/>
          <w:sz w:val="32"/>
          <w:szCs w:val="32"/>
        </w:rPr>
        <w:t>甲基氧杂环戊烷具体纯度标准。该法规自欧盟官方公报发布20日后生效</w:t>
      </w:r>
      <w:r>
        <w:rPr>
          <w:rFonts w:eastAsia="方正仿宋_GBK"/>
          <w:kern w:val="0"/>
          <w:sz w:val="32"/>
          <w:szCs w:val="32"/>
        </w:rPr>
        <w:t>。</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98"/>
        <w:gridCol w:w="4678"/>
        <w:gridCol w:w="3325"/>
      </w:tblGrid>
      <w:tr>
        <w:trPr>
          <w:trHeight w:val="20"/>
          <w:tblHeader/>
        </w:trPr>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名称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b/>
                <w:sz w:val="24"/>
              </w:rPr>
              <w:t>使用条件</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b/>
                <w:sz w:val="24"/>
              </w:rPr>
              <w:t>食品中最大残留限量</w:t>
            </w:r>
          </w:p>
        </w:tc>
      </w:tr>
      <w:tr>
        <w:trPr>
          <w:trHeight w:val="20"/>
          <w:tblHeader/>
        </w:trPr>
        <w:tc>
          <w:tcPr>
            <w:tcW w:w="1598"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2-甲基氧杂环戊烷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脂肪和油的生产或分馏以及可可脂的生产</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脂肪或油或可可脂中：1mg/kg</w:t>
            </w:r>
          </w:p>
        </w:tc>
      </w:tr>
      <w:tr>
        <w:trPr>
          <w:trHeight w:val="20"/>
          <w:tblHeader/>
        </w:trPr>
        <w:tc>
          <w:tcPr>
            <w:tcW w:w="1598" w:type="dxa"/>
            <w:vMerge/>
            <w:tcBorders>
              <w:left w:val="single" w:sz="4" w:space="0" w:color="auto"/>
              <w:right w:val="single" w:sz="4" w:space="0" w:color="auto"/>
            </w:tcBorders>
            <w:shd w:val="clear" w:color="auto" w:fill="auto"/>
            <w:vAlign w:val="center"/>
          </w:tcPr>
          <w:p/>
        </w:tc>
        <w:tc>
          <w:tcPr>
            <w:tcW w:w="4678"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制备脱脂蛋白产品和脱脂面粉</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含有脱脂蛋白产品和脱脂面粉的食品中10mg/kg</w:t>
            </w:r>
          </w:p>
        </w:tc>
      </w:tr>
      <w:tr>
        <w:trPr>
          <w:trHeight w:val="20"/>
          <w:tblHeader/>
        </w:trPr>
        <w:tc>
          <w:tcPr>
            <w:tcW w:w="1598" w:type="dxa"/>
            <w:vMerge/>
            <w:tcBorders>
              <w:left w:val="single" w:sz="4" w:space="0" w:color="auto"/>
              <w:right w:val="single" w:sz="4" w:space="0" w:color="auto"/>
            </w:tcBorders>
            <w:shd w:val="clear" w:color="auto" w:fill="auto"/>
            <w:vAlign w:val="center"/>
          </w:tcPr>
          <w:p/>
        </w:tc>
        <w:tc>
          <w:tcPr>
            <w:tcW w:w="4678" w:type="dxa"/>
            <w:vMerge/>
            <w:tcBorders>
              <w:left w:val="single" w:sz="4" w:space="0" w:color="auto"/>
              <w:bottom w:val="single" w:sz="4" w:space="0" w:color="auto"/>
              <w:right w:val="single" w:sz="4" w:space="0" w:color="auto"/>
            </w:tcBorders>
            <w:shd w:val="clear" w:color="auto" w:fill="auto"/>
            <w:vAlign w:val="center"/>
          </w:tcP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出售给最终消费者的脱脂豆制品中 ：30mg/kg</w:t>
            </w:r>
          </w:p>
        </w:tc>
      </w:tr>
      <w:tr>
        <w:trPr>
          <w:trHeight w:val="20"/>
          <w:tblHeader/>
        </w:trPr>
        <w:tc>
          <w:tcPr>
            <w:tcW w:w="1598" w:type="dxa"/>
            <w:vMerge/>
            <w:tcBorders>
              <w:left w:val="single" w:sz="4" w:space="0" w:color="auto"/>
              <w:bottom w:val="single" w:sz="4" w:space="0" w:color="auto"/>
              <w:right w:val="single" w:sz="4" w:space="0" w:color="auto"/>
            </w:tcBorders>
            <w:shd w:val="clear" w:color="auto" w:fill="auto"/>
            <w:vAlign w:val="center"/>
          </w:tc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脱脂谷物胚芽的制备</w:t>
            </w:r>
          </w:p>
        </w:tc>
        <w:tc>
          <w:tcPr>
            <w:tcW w:w="332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脂谷物胚芽中： 5mg/kg</w:t>
            </w:r>
          </w:p>
        </w:tc>
      </w:tr>
    </w:tbl>
    <w:p>
      <w:pPr>
        <w:pStyle w:val="36"/>
        <w:spacing w:beforeLines="50" w:before="156" w:afterLines="50" w:after="156" w:line="560" w:lineRule="exact"/>
        <w:ind w:left="640"/>
        <w:rPr>
          <w:rFonts w:ascii="方正黑体_GBK" w:eastAsia="方正黑体_GBK" w:cs="宋体"/>
          <w:b w:val="0"/>
          <w:kern w:val="0"/>
          <w:sz w:val="32"/>
          <w:szCs w:val="32"/>
        </w:rPr>
      </w:pPr>
      <w:bookmarkStart w:id="12" w:name="_Toc125895386"/>
    </w:p>
    <w:p>
      <w:pPr>
        <w:pStyle w:val="36"/>
        <w:spacing w:beforeLines="50" w:before="156" w:afterLines="50" w:after="156" w:line="560" w:lineRule="exact"/>
        <w:ind w:left="640"/>
        <w:rPr>
          <w:rFonts w:ascii="方正黑体_GBK" w:eastAsia="方正黑体_GBK" w:cs="宋体"/>
          <w:b w:val="0"/>
          <w:kern w:val="0"/>
          <w:sz w:val="32"/>
          <w:szCs w:val="32"/>
        </w:rPr>
      </w:pPr>
      <w:r>
        <w:rPr>
          <w:rFonts w:ascii="方正黑体_GBK" w:eastAsia="方正黑体_GBK" w:cs="宋体" w:hint="eastAsia"/>
          <w:b w:val="0"/>
          <w:kern w:val="0"/>
          <w:sz w:val="32"/>
          <w:szCs w:val="32"/>
        </w:rPr>
        <w:t>欧盟修订对进口货物管制措施涉中国产食品部分</w:t>
      </w:r>
      <w:bookmarkEnd w:id="12"/>
    </w:p>
    <w:p>
      <w:pPr>
        <w:pStyle w:val="37"/>
        <w:ind w:firstLineChars="200" w:firstLine="640"/>
        <w:rPr>
          <w:rFonts w:eastAsia="方正仿宋_GBK"/>
          <w:kern w:val="0"/>
          <w:sz w:val="32"/>
          <w:szCs w:val="32"/>
        </w:rPr>
      </w:pPr>
      <w:r>
        <w:rPr>
          <w:rFonts w:eastAsia="方正仿宋_GBK" w:hint="eastAsia"/>
          <w:kern w:val="0"/>
          <w:sz w:val="32"/>
          <w:szCs w:val="32"/>
        </w:rPr>
        <w:t>欧盟官方公报2023年1月27日消息，1月26日，欧盟委员会发布实施条例（EU）2023/174，对根据执行欧洲议会和理事会（EU）2017/625和（EC）No</w:t>
      </w:r>
      <w:r>
        <w:rPr>
          <w:rFonts w:eastAsia="方正仿宋_GBK"/>
          <w:kern w:val="0"/>
          <w:sz w:val="32"/>
          <w:szCs w:val="32"/>
        </w:rPr>
        <w:t xml:space="preserve"> </w:t>
      </w:r>
      <w:r>
        <w:rPr>
          <w:rFonts w:eastAsia="方正仿宋_GBK" w:hint="eastAsia"/>
          <w:kern w:val="0"/>
          <w:sz w:val="32"/>
          <w:szCs w:val="32"/>
        </w:rPr>
        <w:t>178/2002制定的实施条例（EU）2019/1793进行修订，修订临时增加官方控制和紧急措施，以管理来自某些第三国的某些货物进入欧盟。主要修订内容包括：（1）在附件四的官方证书范本第二部分中，增加了第II.2.5点，主要涉及（EU）2019/1793附件二所列特定商品的认证，包括该附件所列的复合食品，因何原因可能产生的污染风险；（2）修订了实验室分析有关规定，要求随附实验室分析方法和所有结果的详细信息，表明其符合欧盟法律。要求检测报告上体现“根据指令2002/63/EC于……（日期）从上述托运货物中取样，并于………（时间）在……（实验室名称）进行实验室分析”等内容，并要求检测时至少涵盖实施条例（EU）2019/1793附件II中确定的危害项目。（3）该条例应在其欧盟官方公报上发布后的第20日生效。该条例应具有全部约束力，并直接适用于所有成员国。其中针对中国在欧盟入境检查的商品清单和检查频率等情况如下表：</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57"/>
        <w:gridCol w:w="1843"/>
        <w:gridCol w:w="1276"/>
        <w:gridCol w:w="1701"/>
        <w:gridCol w:w="1624"/>
      </w:tblGrid>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产品名称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商品编号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TARIC分部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危害项目</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文件和实物抽检比例（%）</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花生（带壳）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1202 41 00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lang w:eastAsia="ja-JP"/>
              </w:rPr>
            </w:pPr>
            <w:r>
              <w:rPr>
                <w:rFonts w:eastAsia="方正仿宋_GBK"/>
                <w:sz w:val="24"/>
                <w:lang w:eastAsia="ja-JP"/>
              </w:rPr>
              <w:t>黄曲霉毒素</w:t>
            </w:r>
          </w:p>
        </w:tc>
        <w:tc>
          <w:tcPr>
            <w:tcW w:w="1624"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10</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去壳花生（花生）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1202 42 00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花生酱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2008 11 10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其他制备或保存的花生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xml:space="preserve">2008 11 91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vMerge/>
            <w:tcBorders>
              <w:left w:val="single" w:sz="4" w:space="0" w:color="auto"/>
              <w:right w:val="single" w:sz="4" w:space="0" w:color="auto"/>
            </w:tcBorders>
            <w:vAlign w:val="center"/>
          </w:tc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xml:space="preserve">2008 11 96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vMerge/>
            <w:tcBorders>
              <w:left w:val="single" w:sz="4" w:space="0" w:color="auto"/>
              <w:bottom w:val="single" w:sz="4" w:space="0" w:color="auto"/>
              <w:right w:val="single" w:sz="4" w:space="0" w:color="auto"/>
            </w:tcBorders>
            <w:vAlign w:val="center"/>
          </w:tc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2008 11 98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花生油提取过程中产生的油饼和其他固体残留物，不论是否磨碎或成丸状</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2305 00 00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花生粉和膳食</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ex 1208 90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20</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花生酱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ex 2007 10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80</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w:t>
            </w:r>
            <w:r>
              <w:rPr>
                <w:rFonts w:eastAsia="方正仿宋_GBK"/>
                <w:sz w:val="24"/>
              </w:rPr>
              <w:t> </w:t>
            </w:r>
            <w:r>
              <w:rPr>
                <w:rFonts w:eastAsia="方正仿宋_GBK" w:hint="eastAsia"/>
                <w:sz w:val="24"/>
              </w:rPr>
              <w:t>食品和饲料</w:t>
            </w:r>
            <w:r>
              <w:rPr>
                <w:rFonts w:eastAsia="方正仿宋_GBK"/>
                <w:sz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ex 2007 10 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50</w:t>
            </w:r>
          </w:p>
        </w:tc>
        <w:tc>
          <w:tcPr>
            <w:tcW w:w="1701" w:type="dxa"/>
            <w:vMerge/>
            <w:tcBorders>
              <w:left w:val="single" w:sz="4" w:space="0" w:color="auto"/>
              <w:right w:val="single" w:sz="4" w:space="0" w:color="auto"/>
            </w:tcBorders>
            <w:vAlign w:val="center"/>
          </w:tcPr>
          <w:p/>
        </w:tc>
        <w:tc>
          <w:tcPr>
            <w:tcW w:w="1624" w:type="dxa"/>
            <w:vMerge/>
            <w:tcBorders>
              <w:left w:val="single" w:sz="4" w:space="0" w:color="auto"/>
              <w:right w:val="single" w:sz="4" w:space="0" w:color="auto"/>
            </w:tcBorders>
            <w:vAlign w:val="center"/>
          </w:tcPr>
          <w:p/>
        </w:tc>
      </w:tr>
      <w:tr>
        <w:trPr>
          <w:trHeight w:val="20"/>
          <w:tblHeader/>
        </w:trPr>
        <w:tc>
          <w:tcPr>
            <w:tcW w:w="3157" w:type="dxa"/>
            <w:vMerge/>
            <w:tcBorders>
              <w:left w:val="single" w:sz="4" w:space="0" w:color="auto"/>
              <w:bottom w:val="single" w:sz="4" w:space="0" w:color="auto"/>
              <w:right w:val="single" w:sz="4" w:space="0" w:color="auto"/>
            </w:tcBorders>
            <w:vAlign w:val="center"/>
          </w:tc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ex 2007 99 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07</w:t>
            </w:r>
            <w:r>
              <w:rPr>
                <w:rFonts w:eastAsia="方正仿宋_GBK" w:hint="eastAsia"/>
                <w:sz w:val="24"/>
              </w:rPr>
              <w:t>；</w:t>
            </w:r>
            <w:r>
              <w:rPr>
                <w:rFonts w:eastAsia="方正仿宋_GBK"/>
                <w:sz w:val="24"/>
              </w:rPr>
              <w:t>08</w:t>
            </w:r>
          </w:p>
        </w:tc>
        <w:tc>
          <w:tcPr>
            <w:tcW w:w="1701" w:type="dxa"/>
            <w:vMerge/>
            <w:tcBorders>
              <w:left w:val="single" w:sz="4" w:space="0" w:color="auto"/>
              <w:bottom w:val="single" w:sz="4" w:space="0" w:color="auto"/>
              <w:right w:val="single" w:sz="4" w:space="0" w:color="auto"/>
            </w:tcBorders>
            <w:vAlign w:val="center"/>
          </w:tcPr>
          <w:p/>
        </w:tc>
        <w:tc>
          <w:tcPr>
            <w:tcW w:w="1624" w:type="dxa"/>
            <w:vMerge/>
            <w:tcBorders>
              <w:left w:val="single" w:sz="4" w:space="0" w:color="auto"/>
              <w:bottom w:val="single" w:sz="4" w:space="0" w:color="auto"/>
              <w:right w:val="single" w:sz="4" w:space="0" w:color="auto"/>
            </w:tcBorders>
            <w:vAlign w:val="center"/>
          </w:tcP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甜椒（辣椒）</w:t>
            </w:r>
          </w:p>
          <w:p>
            <w:pPr>
              <w:pStyle w:val="37"/>
              <w:snapToGrid w:val="0"/>
              <w:spacing w:line="400" w:lineRule="exact"/>
              <w:jc w:val="center"/>
              <w:rPr>
                <w:rFonts w:eastAsia="方正仿宋_GBK"/>
                <w:sz w:val="24"/>
              </w:rPr>
            </w:pPr>
            <w:r>
              <w:rPr>
                <w:rFonts w:eastAsia="方正仿宋_GBK" w:hint="eastAsia"/>
                <w:sz w:val="24"/>
              </w:rPr>
              <w:t>（食品——压碎或磨碎）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ex 0904 22 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lang w:eastAsia="ja-JP"/>
              </w:rPr>
            </w:pPr>
            <w:r>
              <w:rPr>
                <w:rFonts w:eastAsia="方正仿宋_GBK"/>
                <w:sz w:val="24"/>
                <w:lang w:eastAsia="ja-JP"/>
              </w:rPr>
              <w:t>沙门氏菌</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10</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茶，不论是否调味</w:t>
            </w:r>
          </w:p>
          <w:p>
            <w:pPr>
              <w:pStyle w:val="37"/>
              <w:snapToGrid w:val="0"/>
              <w:spacing w:line="400" w:lineRule="exact"/>
              <w:jc w:val="center"/>
              <w:rPr>
                <w:rFonts w:eastAsia="方正仿宋_GBK"/>
                <w:sz w:val="24"/>
              </w:rPr>
            </w:pPr>
            <w:r>
              <w:rPr>
                <w:rFonts w:eastAsia="方正仿宋_GBK" w:hint="eastAsia"/>
                <w:sz w:val="24"/>
              </w:rPr>
              <w:t>（食品）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0902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lang w:eastAsia="ja-JP"/>
              </w:rPr>
            </w:pPr>
            <w:r>
              <w:rPr>
                <w:rFonts w:eastAsia="方正仿宋_GBK"/>
                <w:sz w:val="24"/>
                <w:lang w:eastAsia="ja-JP"/>
              </w:rPr>
              <w:t>农药残留</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20</w:t>
            </w:r>
          </w:p>
        </w:tc>
      </w:tr>
    </w:tbl>
    <w:p>
      <w:pPr>
        <w:pStyle w:val="36"/>
        <w:spacing w:beforeLines="50" w:before="156" w:afterLines="50" w:after="156" w:line="560" w:lineRule="exact"/>
        <w:ind w:left="640"/>
        <w:rPr>
          <w:rFonts w:ascii="方正黑体_GBK" w:eastAsia="方正黑体_GBK" w:cs="宋体"/>
          <w:b w:val="0"/>
          <w:kern w:val="0"/>
          <w:sz w:val="32"/>
          <w:szCs w:val="32"/>
        </w:rPr>
      </w:pPr>
      <w:bookmarkStart w:id="13" w:name="_Toc125895387"/>
    </w:p>
    <w:p>
      <w:pPr>
        <w:pStyle w:val="36"/>
        <w:spacing w:beforeLines="50" w:before="156" w:afterLines="50" w:after="156" w:line="560" w:lineRule="exact"/>
        <w:ind w:left="640"/>
        <w:rPr>
          <w:rFonts w:ascii="方正黑体_GBK" w:eastAsia="方正黑体_GBK" w:cs="宋体"/>
          <w:b w:val="0"/>
          <w:kern w:val="0"/>
          <w:sz w:val="32"/>
          <w:szCs w:val="32"/>
        </w:rPr>
      </w:pPr>
      <w:r>
        <w:rPr>
          <w:rFonts w:ascii="方正黑体_GBK" w:eastAsia="方正黑体_GBK" w:cs="宋体" w:hint="eastAsia"/>
          <w:b w:val="0"/>
          <w:kern w:val="0"/>
          <w:sz w:val="32"/>
          <w:szCs w:val="32"/>
        </w:rPr>
        <w:t>欧盟修订部分食品中环丙氨嗪等农药的最大残留限量</w:t>
      </w:r>
      <w:bookmarkEnd w:id="13"/>
    </w:p>
    <w:p>
      <w:pPr>
        <w:pStyle w:val="37"/>
        <w:ind w:firstLineChars="200" w:firstLine="640"/>
        <w:rPr>
          <w:rFonts w:eastAsia="方正仿宋_GBK"/>
          <w:kern w:val="0"/>
          <w:sz w:val="32"/>
          <w:szCs w:val="32"/>
        </w:rPr>
      </w:pPr>
      <w:r>
        <w:rPr>
          <w:rFonts w:eastAsia="方正仿宋_GBK" w:hint="eastAsia"/>
          <w:kern w:val="0"/>
          <w:sz w:val="32"/>
          <w:szCs w:val="32"/>
        </w:rPr>
        <w:t>欧盟官方公报2023年1月23日消息，1月20日，欧盟委员会发布条例（EU）2023/147，修订欧洲议会和理事会条例（EC）No</w:t>
      </w:r>
      <w:r>
        <w:rPr>
          <w:rFonts w:eastAsia="方正仿宋_GBK"/>
          <w:kern w:val="0"/>
          <w:sz w:val="32"/>
          <w:szCs w:val="32"/>
        </w:rPr>
        <w:t xml:space="preserve"> </w:t>
      </w:r>
      <w:r>
        <w:rPr>
          <w:rFonts w:eastAsia="方正仿宋_GBK" w:hint="eastAsia"/>
          <w:kern w:val="0"/>
          <w:sz w:val="32"/>
          <w:szCs w:val="32"/>
        </w:rPr>
        <w:t>396/2005的附件II、III和V，涉及某些产品中或产品上的环丙氨嗪（cyromazine，又称灭蝇胺）、苯唑草酮（topramezone，又称苯吡唑草酮）和氟菌唑（triflumizole，又称三氟甲基咪唑）的最大残留限量标准。条例（EU）2023/147主要内容为：（1）（EC）No</w:t>
      </w:r>
      <w:r>
        <w:rPr>
          <w:rFonts w:eastAsia="方正仿宋_GBK"/>
          <w:kern w:val="0"/>
          <w:sz w:val="32"/>
          <w:szCs w:val="32"/>
        </w:rPr>
        <w:t xml:space="preserve"> </w:t>
      </w:r>
      <w:r>
        <w:rPr>
          <w:rFonts w:eastAsia="方正仿宋_GBK" w:hint="eastAsia"/>
          <w:kern w:val="0"/>
          <w:sz w:val="32"/>
          <w:szCs w:val="32"/>
        </w:rPr>
        <w:t>396/2005的附件II、III和V根据该条例的附件进行修订；（2）（EC）No</w:t>
      </w:r>
      <w:r>
        <w:rPr>
          <w:rFonts w:eastAsia="方正仿宋_GBK"/>
          <w:kern w:val="0"/>
          <w:sz w:val="32"/>
          <w:szCs w:val="32"/>
        </w:rPr>
        <w:t xml:space="preserve"> </w:t>
      </w:r>
      <w:r>
        <w:rPr>
          <w:rFonts w:eastAsia="方正仿宋_GBK" w:hint="eastAsia"/>
          <w:kern w:val="0"/>
          <w:sz w:val="32"/>
          <w:szCs w:val="32"/>
        </w:rPr>
        <w:t>396/2005在被本条例修订前的状况应继续适用于2023年8月12日前在欧盟生产或进口到欧盟的产品；（3）该条例应在欧盟官方公报上公布后的第20日生效；修订内容应在该条例生效之日起6个月后适用；该条例的全部内容具有约束力，并在所有成员国直接适用。（EC）No</w:t>
      </w:r>
      <w:r>
        <w:rPr>
          <w:rFonts w:eastAsia="方正仿宋_GBK"/>
          <w:kern w:val="0"/>
          <w:sz w:val="32"/>
          <w:szCs w:val="32"/>
        </w:rPr>
        <w:t xml:space="preserve"> </w:t>
      </w:r>
      <w:r>
        <w:rPr>
          <w:rFonts w:eastAsia="方正仿宋_GBK" w:hint="eastAsia"/>
          <w:kern w:val="0"/>
          <w:sz w:val="32"/>
          <w:szCs w:val="32"/>
        </w:rPr>
        <w:t>396/2005的附件II、III和V修订如下：（1）附件II对环丙氨嗪一栏内容进行修订。其中新制定新鲜和冷冻水果、树生坚果中环丙氨嗪</w:t>
      </w:r>
      <w:r>
        <w:rPr>
          <w:rFonts w:eastAsia="方正仿宋_GBK"/>
          <w:kern w:val="0"/>
          <w:sz w:val="32"/>
          <w:szCs w:val="32"/>
        </w:rPr>
        <w:t>的</w:t>
      </w:r>
      <w:r>
        <w:rPr>
          <w:rFonts w:eastAsia="方正仿宋_GBK" w:hint="eastAsia"/>
          <w:kern w:val="0"/>
          <w:sz w:val="32"/>
          <w:szCs w:val="32"/>
        </w:rPr>
        <w:t>最大残留限量（MRL）为</w:t>
      </w:r>
      <w:r>
        <w:rPr>
          <w:rFonts w:eastAsia="方正仿宋_GBK"/>
          <w:kern w:val="0"/>
          <w:sz w:val="32"/>
          <w:szCs w:val="32"/>
        </w:rPr>
        <w:t>0.01mg/kg</w:t>
      </w:r>
      <w:r>
        <w:rPr>
          <w:rFonts w:eastAsia="方正仿宋_GBK" w:hint="eastAsia"/>
          <w:kern w:val="0"/>
          <w:sz w:val="32"/>
          <w:szCs w:val="32"/>
        </w:rPr>
        <w:t>；茶、咖啡、草药、可可和角豆的环丙氨嗪</w:t>
      </w:r>
      <w:r>
        <w:rPr>
          <w:rFonts w:eastAsia="方正仿宋_GBK"/>
          <w:kern w:val="0"/>
          <w:sz w:val="32"/>
          <w:szCs w:val="32"/>
        </w:rPr>
        <w:t>的</w:t>
      </w:r>
      <w:r>
        <w:rPr>
          <w:rFonts w:eastAsia="方正仿宋_GBK" w:hint="eastAsia"/>
          <w:kern w:val="0"/>
          <w:sz w:val="32"/>
          <w:szCs w:val="32"/>
        </w:rPr>
        <w:t>最大残留限量（MRL）为</w:t>
      </w:r>
      <w:r>
        <w:rPr>
          <w:rFonts w:eastAsia="方正仿宋_GBK"/>
          <w:kern w:val="0"/>
          <w:sz w:val="32"/>
          <w:szCs w:val="32"/>
        </w:rPr>
        <w:t>0.1mg/kg</w:t>
      </w:r>
      <w:r>
        <w:rPr>
          <w:rFonts w:eastAsia="方正仿宋_GBK" w:hint="eastAsia"/>
          <w:kern w:val="0"/>
          <w:sz w:val="32"/>
          <w:szCs w:val="32"/>
        </w:rPr>
        <w:t>。以上MRL均以环丙氨嗪</w:t>
      </w:r>
      <w:r>
        <w:rPr>
          <w:rFonts w:eastAsia="方正仿宋_GBK"/>
          <w:kern w:val="0"/>
          <w:sz w:val="32"/>
          <w:szCs w:val="32"/>
        </w:rPr>
        <w:t>检测方法的检测低限为限量标准。（2）删除</w:t>
      </w:r>
      <w:r>
        <w:rPr>
          <w:rFonts w:eastAsia="方正仿宋_GBK" w:hint="eastAsia"/>
          <w:kern w:val="0"/>
          <w:sz w:val="32"/>
          <w:szCs w:val="32"/>
        </w:rPr>
        <w:t>附件II的氟菌唑一栏。（3）在附录III的A部分中，删除苯唑草酮一栏。（4）在附录V中，添加了苯唑草酮和氟菌唑的以下栏。主要限量标准见下表：</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23"/>
        <w:gridCol w:w="1843"/>
        <w:gridCol w:w="1985"/>
        <w:gridCol w:w="1559"/>
        <w:gridCol w:w="2191"/>
      </w:tblGrid>
      <w:tr>
        <w:trPr>
          <w:trHeight w:val="20"/>
          <w:tblHeader/>
        </w:trPr>
        <w:tc>
          <w:tcPr>
            <w:tcW w:w="2023"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商品</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苯唑草酮最大残留限量 （mg/kg）</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氟菌唑最大残留限量 （mg/kg）</w:t>
            </w:r>
          </w:p>
        </w:tc>
      </w:tr>
      <w:tr>
        <w:trPr>
          <w:trHeight w:val="20"/>
          <w:tblHeader/>
        </w:trPr>
        <w:tc>
          <w:tcPr>
            <w:tcW w:w="2023" w:type="dxa"/>
            <w:vMerge/>
            <w:tcBorders>
              <w:left w:val="single" w:sz="4" w:space="0" w:color="auto"/>
              <w:bottom w:val="single" w:sz="4" w:space="0" w:color="auto"/>
              <w:right w:val="single" w:sz="4" w:space="0" w:color="auto"/>
            </w:tcBorders>
            <w:shd w:val="clear" w:color="auto" w:fill="auto"/>
            <w:vAlign w:val="center"/>
          </w:tc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修订后</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37"/>
              <w:snapToGrid w:val="0"/>
              <w:spacing w:line="400" w:lineRule="exact"/>
              <w:jc w:val="center"/>
              <w:rPr>
                <w:rFonts w:eastAsia="方正仿宋_GBK"/>
                <w:b/>
                <w:sz w:val="24"/>
              </w:rPr>
            </w:pPr>
            <w:r>
              <w:rPr>
                <w:rFonts w:eastAsia="方正仿宋_GBK" w:hint="eastAsia"/>
                <w:b/>
                <w:sz w:val="24"/>
              </w:rPr>
              <w:t>修订前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修订后</w:t>
            </w:r>
          </w:p>
        </w:tc>
        <w:tc>
          <w:tcPr>
            <w:tcW w:w="2191" w:type="dxa"/>
            <w:tcBorders>
              <w:top w:val="single" w:sz="4" w:space="0" w:color="auto"/>
              <w:left w:val="single" w:sz="4" w:space="0" w:color="auto"/>
              <w:bottom w:val="single" w:sz="4" w:space="0" w:color="auto"/>
              <w:right w:val="single" w:sz="4" w:space="0" w:color="auto"/>
            </w:tcBorders>
            <w:shd w:val="clear" w:color="auto" w:fill="auto"/>
          </w:tcPr>
          <w:p>
            <w:pPr>
              <w:pStyle w:val="37"/>
              <w:snapToGrid w:val="0"/>
              <w:spacing w:line="400" w:lineRule="exact"/>
              <w:jc w:val="center"/>
              <w:rPr>
                <w:rFonts w:eastAsia="方正仿宋_GBK"/>
                <w:b/>
                <w:sz w:val="24"/>
              </w:rPr>
            </w:pPr>
            <w:r>
              <w:rPr>
                <w:rFonts w:eastAsia="方正仿宋_GBK" w:hint="eastAsia"/>
                <w:b/>
                <w:sz w:val="24"/>
              </w:rPr>
              <w:t>修订前</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新鲜和冷冻水果、树生坚果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根茎类蔬菜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鳞茎类蔬菜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果类蔬菜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0.01（未制定限量，按一律基准）</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比利时菊苣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r>
      <w:tr>
        <w:trPr>
          <w:trHeight w:val="20"/>
          <w:tblHeader/>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食用菌、苔藓和地衣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0.02*</w:t>
            </w:r>
          </w:p>
        </w:tc>
      </w:tr>
    </w:tbl>
    <w:p>
      <w:pPr>
        <w:pStyle w:val="37"/>
        <w:snapToGrid w:val="0"/>
        <w:spacing w:line="400" w:lineRule="exact"/>
        <w:jc w:val="left"/>
        <w:rPr>
          <w:rFonts w:eastAsia="方正仿宋_GBK"/>
          <w:sz w:val="24"/>
        </w:rPr>
      </w:pPr>
      <w:r>
        <w:rPr>
          <w:rFonts w:eastAsia="方正仿宋_GBK" w:hint="eastAsia"/>
          <w:sz w:val="24"/>
        </w:rPr>
        <w:t>注：“*”表示该限量为分析测定的下限</w:t>
      </w:r>
    </w:p>
    <w:p>
      <w:pPr>
        <w:pStyle w:val="36"/>
        <w:spacing w:beforeLines="50" w:before="156" w:afterLines="50" w:after="156" w:line="560" w:lineRule="exact"/>
        <w:ind w:left="640"/>
        <w:rPr>
          <w:rFonts w:ascii="方正黑体_GBK" w:eastAsia="方正黑体_GBK" w:cs="宋体"/>
          <w:b w:val="0"/>
          <w:kern w:val="0"/>
          <w:sz w:val="32"/>
          <w:szCs w:val="32"/>
        </w:rPr>
      </w:pPr>
      <w:bookmarkStart w:id="14" w:name="_Toc125895388"/>
    </w:p>
    <w:p>
      <w:pPr>
        <w:pStyle w:val="36"/>
        <w:spacing w:beforeLines="50" w:before="156" w:afterLines="50" w:after="156" w:line="560" w:lineRule="exact"/>
        <w:ind w:left="640"/>
        <w:rPr>
          <w:rFonts w:ascii="方正黑体_GBK" w:eastAsia="方正黑体_GBK" w:cs="宋体"/>
          <w:b w:val="0"/>
          <w:kern w:val="0"/>
          <w:sz w:val="32"/>
          <w:szCs w:val="32"/>
        </w:rPr>
      </w:pPr>
      <w:r>
        <w:rPr>
          <w:rFonts w:ascii="方正黑体_GBK" w:eastAsia="方正黑体_GBK" w:cs="宋体" w:hint="eastAsia"/>
          <w:b w:val="0"/>
          <w:kern w:val="0"/>
          <w:sz w:val="32"/>
          <w:szCs w:val="32"/>
        </w:rPr>
        <w:t>欧盟授权1种新食品3'-唾液酸乳糖钠盐</w:t>
      </w:r>
      <w:bookmarkEnd w:id="14"/>
    </w:p>
    <w:p>
      <w:pPr>
        <w:pStyle w:val="37"/>
        <w:ind w:firstLineChars="200" w:firstLine="640"/>
        <w:rPr>
          <w:rFonts w:eastAsia="方正仿宋_GBK"/>
          <w:kern w:val="0"/>
          <w:sz w:val="32"/>
          <w:szCs w:val="32"/>
        </w:rPr>
      </w:pPr>
      <w:r>
        <w:rPr>
          <w:rFonts w:eastAsia="方正仿宋_GBK" w:hint="eastAsia"/>
          <w:kern w:val="0"/>
          <w:sz w:val="32"/>
          <w:szCs w:val="32"/>
        </w:rPr>
        <w:t>欧盟官方公报</w:t>
      </w:r>
      <w:r>
        <w:rPr>
          <w:rFonts w:eastAsia="方正仿宋_GBK"/>
          <w:kern w:val="0"/>
          <w:sz w:val="32"/>
          <w:szCs w:val="32"/>
        </w:rPr>
        <w:t>2023</w:t>
      </w:r>
      <w:r>
        <w:rPr>
          <w:rFonts w:eastAsia="方正仿宋_GBK" w:hint="eastAsia"/>
          <w:kern w:val="0"/>
          <w:sz w:val="32"/>
          <w:szCs w:val="32"/>
        </w:rPr>
        <w:t>年1月17日消息，欧盟委员会1月16日发布的授权条例（EU）2023/113条例批准3'-唾液酸乳糖钠盐（'3'-SL'）（由大肠杆菌BL21（DE3）的衍生菌株产生）作为新食品成分，发布后第20日生效，适用于所有成员国。主要内容如下：（1）大肠杆菌BL21（DE3）衍生菌株生产的3′-唾液酸乳糖钠盐获准在欧盟内上市。大肠杆菌BL21（DE3）衍生菌株生产的3'-唾液酸乳糖钠盐应列入实施条例（EU）2017/2470中规定的新型食品联合清单；（2）根据该条例附件修订了实施条例（EU）2017/2470的附件；（3）只有Chr.</w:t>
      </w:r>
      <w:r>
        <w:rPr>
          <w:rFonts w:eastAsia="方正仿宋_GBK"/>
          <w:kern w:val="0"/>
          <w:sz w:val="32"/>
          <w:szCs w:val="32"/>
        </w:rPr>
        <w:t xml:space="preserve"> </w:t>
      </w:r>
      <w:r>
        <w:rPr>
          <w:rFonts w:eastAsia="方正仿宋_GBK" w:hint="eastAsia"/>
          <w:kern w:val="0"/>
          <w:sz w:val="32"/>
          <w:szCs w:val="32"/>
        </w:rPr>
        <w:t>HansenA/S公司有权将第1条中提及的新型食品投放欧盟市场，为期5年，除非后续申请人在未参考第3条所保护的科学依据或获得</w:t>
      </w:r>
      <w:r>
        <w:rPr>
          <w:rFonts w:eastAsia="方正仿宋_GBK"/>
          <w:kern w:val="0"/>
          <w:sz w:val="32"/>
          <w:szCs w:val="32"/>
        </w:rPr>
        <w:t>HansenA/S同意的情况</w:t>
      </w:r>
      <w:r>
        <w:rPr>
          <w:rFonts w:eastAsia="方正仿宋_GBK" w:hint="eastAsia"/>
          <w:kern w:val="0"/>
          <w:sz w:val="32"/>
          <w:szCs w:val="32"/>
        </w:rPr>
        <w:t>下获得该新型食品的授权；（4）未经Chr.</w:t>
      </w:r>
      <w:r>
        <w:rPr>
          <w:rFonts w:eastAsia="方正仿宋_GBK"/>
          <w:kern w:val="0"/>
          <w:sz w:val="32"/>
          <w:szCs w:val="32"/>
        </w:rPr>
        <w:t xml:space="preserve"> </w:t>
      </w:r>
      <w:r>
        <w:rPr>
          <w:rFonts w:eastAsia="方正仿宋_GBK" w:hint="eastAsia"/>
          <w:kern w:val="0"/>
          <w:sz w:val="32"/>
          <w:szCs w:val="32"/>
        </w:rPr>
        <w:t>HansenA/S同意，自该条例生效之日起5年内，不得将申请文件中包含的符合条例（EU）No.2015/2283第26条规定条件的科学数据用于后续申请人的利益。</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3"/>
        <w:gridCol w:w="2268"/>
        <w:gridCol w:w="2551"/>
        <w:gridCol w:w="1418"/>
        <w:gridCol w:w="2191"/>
      </w:tblGrid>
      <w:tr>
        <w:trPr>
          <w:trHeight w:val="20"/>
          <w:tblHead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授权的新型食品</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可使用新型食品的条件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b/>
                <w:sz w:val="24"/>
              </w:rPr>
            </w:pPr>
            <w:r>
              <w:rPr>
                <w:rFonts w:eastAsia="方正仿宋_GBK" w:hint="eastAsia"/>
                <w:b/>
                <w:sz w:val="24"/>
              </w:rPr>
              <w:t>其他特定标签要求</w:t>
            </w:r>
          </w:p>
        </w:tc>
        <w:tc>
          <w:tcPr>
            <w:tcW w:w="2191" w:type="dxa"/>
            <w:tcBorders>
              <w:top w:val="single" w:sz="4" w:space="0" w:color="auto"/>
              <w:left w:val="single" w:sz="4" w:space="0" w:color="auto"/>
              <w:bottom w:val="single" w:sz="4" w:space="0" w:color="auto"/>
              <w:right w:val="single" w:sz="4" w:space="0" w:color="auto"/>
            </w:tcBorders>
            <w:shd w:val="clear" w:color="auto" w:fill="auto"/>
          </w:tcPr>
          <w:p>
            <w:pPr>
              <w:pStyle w:val="37"/>
              <w:snapToGrid w:val="0"/>
              <w:spacing w:line="400" w:lineRule="exact"/>
              <w:jc w:val="center"/>
              <w:rPr>
                <w:rFonts w:eastAsia="方正仿宋_GBK"/>
                <w:b/>
                <w:sz w:val="24"/>
              </w:rPr>
            </w:pPr>
            <w:r>
              <w:rPr>
                <w:rFonts w:eastAsia="方正仿宋_GBK" w:hint="eastAsia"/>
                <w:b/>
                <w:sz w:val="24"/>
              </w:rPr>
              <w:t>数据保护</w:t>
            </w:r>
          </w:p>
        </w:tc>
      </w:tr>
      <w:tr>
        <w:trPr>
          <w:trHeight w:val="20"/>
          <w:tblHeader/>
        </w:trPr>
        <w:tc>
          <w:tcPr>
            <w:tcW w:w="1173"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3'-</w:t>
            </w:r>
            <w:r>
              <w:rPr>
                <w:rFonts w:eastAsia="方正仿宋_GBK" w:hint="eastAsia"/>
                <w:sz w:val="24"/>
              </w:rPr>
              <w:t>唾液酸乳糖钠盐（</w:t>
            </w:r>
            <w:r>
              <w:rPr>
                <w:rFonts w:eastAsia="方正仿宋_GBK"/>
                <w:sz w:val="24"/>
              </w:rPr>
              <w:t>'3'-SL'</w:t>
            </w:r>
            <w:r>
              <w:rPr>
                <w:rFonts w:eastAsia="方正仿宋_GBK" w:hint="eastAsia"/>
                <w:sz w:val="24"/>
              </w:rPr>
              <w:t>）（由大肠杆菌</w:t>
            </w:r>
            <w:r>
              <w:rPr>
                <w:rFonts w:eastAsia="方正仿宋_GBK"/>
                <w:sz w:val="24"/>
              </w:rPr>
              <w:t>BL21（DE3）</w:t>
            </w:r>
            <w:r>
              <w:rPr>
                <w:rFonts w:eastAsia="方正仿宋_GBK" w:hint="eastAsia"/>
                <w:sz w:val="24"/>
              </w:rPr>
              <w:t>的衍生菌株产生）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指定食物类别</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最高限量</w:t>
            </w:r>
          </w:p>
        </w:tc>
        <w:tc>
          <w:tcPr>
            <w:tcW w:w="1418"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含有该新型食品的食品标签上的新型食品名称应为</w:t>
            </w:r>
            <w:r>
              <w:rPr>
                <w:rFonts w:eastAsia="方正仿宋_GBK"/>
                <w:sz w:val="24"/>
              </w:rPr>
              <w:t>“3′-</w:t>
            </w:r>
            <w:r>
              <w:rPr>
                <w:rFonts w:eastAsia="方正仿宋_GBK" w:hint="eastAsia"/>
                <w:sz w:val="24"/>
              </w:rPr>
              <w:t>唾液酸乳糖钠盐</w:t>
            </w:r>
            <w:r>
              <w:rPr>
                <w:rFonts w:eastAsia="方正仿宋_GBK"/>
                <w:sz w:val="24"/>
              </w:rPr>
              <w:t>”</w:t>
            </w:r>
            <w:r>
              <w:rPr>
                <w:rFonts w:eastAsia="方正仿宋_GBK" w:hint="eastAsia"/>
                <w:sz w:val="24"/>
              </w:rPr>
              <w:t>。</w:t>
            </w:r>
          </w:p>
          <w:p>
            <w:pPr>
              <w:pStyle w:val="37"/>
              <w:snapToGrid w:val="0"/>
              <w:spacing w:line="400" w:lineRule="exact"/>
              <w:jc w:val="center"/>
              <w:rPr>
                <w:rFonts w:eastAsia="方正仿宋_GBK"/>
                <w:sz w:val="24"/>
              </w:rPr>
            </w:pPr>
            <w:r>
              <w:rPr>
                <w:rFonts w:eastAsia="方正仿宋_GBK" w:hint="eastAsia"/>
                <w:sz w:val="24"/>
              </w:rPr>
              <w:t>含有</w:t>
            </w:r>
            <w:r>
              <w:rPr>
                <w:rFonts w:eastAsia="方正仿宋_GBK"/>
                <w:sz w:val="24"/>
              </w:rPr>
              <w:t> 3′-</w:t>
            </w:r>
            <w:r>
              <w:rPr>
                <w:rFonts w:eastAsia="方正仿宋_GBK" w:hint="eastAsia"/>
                <w:sz w:val="24"/>
              </w:rPr>
              <w:t>唾液酸乳糖</w:t>
            </w:r>
            <w:r>
              <w:rPr>
                <w:rFonts w:eastAsia="方正仿宋_GBK"/>
                <w:sz w:val="24"/>
              </w:rPr>
              <w:t> （3′-SL） </w:t>
            </w:r>
            <w:r>
              <w:rPr>
                <w:rFonts w:eastAsia="方正仿宋_GBK" w:hint="eastAsia"/>
                <w:sz w:val="24"/>
              </w:rPr>
              <w:t>钠盐的食品补充剂的标签应注明</w:t>
            </w:r>
            <w:r>
              <w:rPr>
                <w:rFonts w:eastAsia="方正仿宋_GBK"/>
                <w:sz w:val="24"/>
              </w:rPr>
              <w:t> （a） 3 </w:t>
            </w:r>
            <w:r>
              <w:rPr>
                <w:rFonts w:eastAsia="方正仿宋_GBK" w:hint="eastAsia"/>
                <w:sz w:val="24"/>
              </w:rPr>
              <w:t>岁以下儿童不应食用；</w:t>
            </w:r>
          </w:p>
          <w:p>
            <w:pPr>
              <w:pStyle w:val="37"/>
              <w:snapToGrid w:val="0"/>
              <w:spacing w:line="400" w:lineRule="exact"/>
              <w:jc w:val="center"/>
              <w:rPr>
                <w:rFonts w:eastAsia="方正仿宋_GBK"/>
                <w:sz w:val="24"/>
              </w:rPr>
            </w:pPr>
            <w:r>
              <w:rPr>
                <w:rFonts w:eastAsia="方正仿宋_GBK"/>
                <w:sz w:val="24"/>
              </w:rPr>
              <w:t>（b） </w:t>
            </w:r>
            <w:r>
              <w:rPr>
                <w:rFonts w:eastAsia="方正仿宋_GBK" w:hint="eastAsia"/>
                <w:sz w:val="24"/>
              </w:rPr>
              <w:t>如果在同一天食用了其他含有添加</w:t>
            </w:r>
            <w:r>
              <w:rPr>
                <w:rFonts w:eastAsia="方正仿宋_GBK"/>
                <w:sz w:val="24"/>
              </w:rPr>
              <w:t> 3'-</w:t>
            </w:r>
            <w:r>
              <w:rPr>
                <w:rFonts w:eastAsia="方正仿宋_GBK" w:hint="eastAsia"/>
                <w:sz w:val="24"/>
              </w:rPr>
              <w:t>唾液酸乳糖钠盐的食物，则不应使用它们</w:t>
            </w:r>
            <w:r>
              <w:rPr>
                <w:rFonts w:eastAsia="方正仿宋_GBK"/>
                <w:sz w:val="24"/>
              </w:rPr>
              <w:t> </w:t>
            </w:r>
          </w:p>
        </w:tc>
        <w:tc>
          <w:tcPr>
            <w:tcW w:w="2191" w:type="dxa"/>
            <w:vMerge w:val="restart"/>
            <w:tcBorders>
              <w:top w:val="single" w:sz="4" w:space="0" w:color="auto"/>
              <w:left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授权于</w:t>
            </w:r>
            <w:r>
              <w:rPr>
                <w:rFonts w:eastAsia="方正仿宋_GBK"/>
                <w:sz w:val="24"/>
              </w:rPr>
              <w:t> 2023 </w:t>
            </w:r>
            <w:r>
              <w:rPr>
                <w:rFonts w:eastAsia="方正仿宋_GBK" w:hint="eastAsia"/>
                <w:sz w:val="24"/>
              </w:rPr>
              <w:t>年</w:t>
            </w:r>
            <w:r>
              <w:rPr>
                <w:rFonts w:eastAsia="方正仿宋_GBK"/>
                <w:sz w:val="24"/>
              </w:rPr>
              <w:t> 2 </w:t>
            </w:r>
            <w:r>
              <w:rPr>
                <w:rFonts w:eastAsia="方正仿宋_GBK" w:hint="eastAsia"/>
                <w:sz w:val="24"/>
              </w:rPr>
              <w:t>月</w:t>
            </w:r>
            <w:r>
              <w:rPr>
                <w:rFonts w:eastAsia="方正仿宋_GBK"/>
                <w:sz w:val="24"/>
              </w:rPr>
              <w:t> 6 </w:t>
            </w:r>
            <w:r>
              <w:rPr>
                <w:rFonts w:eastAsia="方正仿宋_GBK" w:hint="eastAsia"/>
                <w:sz w:val="24"/>
              </w:rPr>
              <w:t>日。此收录基于专有科学证据和根据法规</w:t>
            </w:r>
            <w:r>
              <w:rPr>
                <w:rFonts w:eastAsia="方正仿宋_GBK"/>
                <w:sz w:val="24"/>
              </w:rPr>
              <w:t> （EU） 2015/2283 </w:t>
            </w:r>
            <w:r>
              <w:rPr>
                <w:rFonts w:eastAsia="方正仿宋_GBK" w:hint="eastAsia"/>
                <w:sz w:val="24"/>
              </w:rPr>
              <w:t>第</w:t>
            </w:r>
            <w:r>
              <w:rPr>
                <w:rFonts w:eastAsia="方正仿宋_GBK"/>
                <w:sz w:val="24"/>
              </w:rPr>
              <w:t> 26 </w:t>
            </w:r>
            <w:r>
              <w:rPr>
                <w:rFonts w:eastAsia="方正仿宋_GBK" w:hint="eastAsia"/>
                <w:sz w:val="24"/>
              </w:rPr>
              <w:t>条保护的科学数据。</w:t>
            </w:r>
          </w:p>
          <w:p>
            <w:pPr>
              <w:pStyle w:val="37"/>
              <w:snapToGrid w:val="0"/>
              <w:spacing w:line="400" w:lineRule="exact"/>
              <w:jc w:val="center"/>
              <w:rPr>
                <w:rFonts w:eastAsia="方正仿宋_GBK"/>
                <w:sz w:val="24"/>
              </w:rPr>
            </w:pPr>
            <w:r>
              <w:rPr>
                <w:rFonts w:eastAsia="方正仿宋_GBK" w:hint="eastAsia"/>
                <w:sz w:val="24"/>
              </w:rPr>
              <w:t>申请人：</w:t>
            </w:r>
            <w:r>
              <w:rPr>
                <w:rFonts w:eastAsia="方正仿宋_GBK"/>
                <w:sz w:val="24"/>
              </w:rPr>
              <w:t> Hansen A/S</w:t>
            </w:r>
            <w:r>
              <w:rPr>
                <w:rFonts w:eastAsia="方正仿宋_GBK" w:hint="eastAsia"/>
                <w:sz w:val="24"/>
              </w:rPr>
              <w:t>”，</w:t>
            </w:r>
            <w:r>
              <w:rPr>
                <w:rFonts w:eastAsia="方正仿宋_GBK"/>
                <w:sz w:val="24"/>
              </w:rPr>
              <w:t>Boege All</w:t>
            </w:r>
            <w:r>
              <w:rPr>
                <w:rFonts w:eastAsia="方正仿宋_GBK" w:hint="eastAsia"/>
                <w:sz w:val="24"/>
              </w:rPr>
              <w:t>é</w:t>
            </w:r>
            <w:r>
              <w:rPr>
                <w:rFonts w:eastAsia="方正仿宋_GBK"/>
                <w:sz w:val="24"/>
              </w:rPr>
              <w:t> 10-12, 2970 Hoersholm, Denmark</w:t>
            </w:r>
            <w:r>
              <w:rPr>
                <w:rFonts w:eastAsia="方正仿宋_GBK" w:hint="eastAsia"/>
                <w:sz w:val="24"/>
              </w:rPr>
              <w:t>。</w:t>
            </w:r>
          </w:p>
          <w:p>
            <w:pPr>
              <w:pStyle w:val="37"/>
              <w:snapToGrid w:val="0"/>
              <w:spacing w:line="400" w:lineRule="exact"/>
              <w:jc w:val="center"/>
              <w:rPr>
                <w:rFonts w:eastAsia="方正仿宋_GBK"/>
                <w:sz w:val="24"/>
              </w:rPr>
            </w:pPr>
            <w:r>
              <w:rPr>
                <w:rFonts w:eastAsia="方正仿宋_GBK" w:hint="eastAsia"/>
                <w:sz w:val="24"/>
              </w:rPr>
              <w:t>在数据保护期间，新型食品</w:t>
            </w:r>
            <w:r>
              <w:rPr>
                <w:rFonts w:eastAsia="方正仿宋_GBK"/>
                <w:sz w:val="24"/>
              </w:rPr>
              <w:t> 3'-</w:t>
            </w:r>
            <w:r>
              <w:rPr>
                <w:rFonts w:eastAsia="方正仿宋_GBK" w:hint="eastAsia"/>
                <w:sz w:val="24"/>
              </w:rPr>
              <w:t>唾液酸乳糖钠盐仅由</w:t>
            </w:r>
            <w:r>
              <w:rPr>
                <w:rFonts w:eastAsia="方正仿宋_GBK"/>
                <w:sz w:val="24"/>
              </w:rPr>
              <w:t> Chr.</w:t>
            </w:r>
            <w:r>
              <w:rPr>
                <w:rFonts w:eastAsia="方正仿宋_GBK" w:hint="eastAsia"/>
                <w:sz w:val="24"/>
              </w:rPr>
              <w:t>Hansen A/S批准在欧盟内上市。除非后续申请人在未参考根据法规</w:t>
            </w:r>
            <w:r>
              <w:rPr>
                <w:rFonts w:eastAsia="方正仿宋_GBK"/>
                <w:sz w:val="24"/>
              </w:rPr>
              <w:t> （EU） 2015/2283 </w:t>
            </w:r>
            <w:r>
              <w:rPr>
                <w:rFonts w:eastAsia="方正仿宋_GBK" w:hint="eastAsia"/>
                <w:sz w:val="24"/>
              </w:rPr>
              <w:t>第</w:t>
            </w:r>
            <w:r>
              <w:rPr>
                <w:rFonts w:eastAsia="方正仿宋_GBK"/>
                <w:sz w:val="24"/>
              </w:rPr>
              <w:t> 26 </w:t>
            </w:r>
            <w:r>
              <w:rPr>
                <w:rFonts w:eastAsia="方正仿宋_GBK" w:hint="eastAsia"/>
                <w:sz w:val="24"/>
              </w:rPr>
              <w:t>条保护的专有科学数据 的情况下或获得“</w:t>
            </w:r>
            <w:r>
              <w:rPr>
                <w:rFonts w:eastAsia="方正仿宋_GBK"/>
                <w:sz w:val="24"/>
              </w:rPr>
              <w:t>Chr. </w:t>
            </w:r>
            <w:r>
              <w:rPr>
                <w:rFonts w:eastAsia="方正仿宋_GBK" w:hint="eastAsia"/>
                <w:sz w:val="24"/>
              </w:rPr>
              <w:t>Hansen A/S”同意。</w:t>
            </w:r>
          </w:p>
          <w:p>
            <w:pPr>
              <w:pStyle w:val="37"/>
              <w:snapToGrid w:val="0"/>
              <w:spacing w:line="400" w:lineRule="exact"/>
              <w:jc w:val="center"/>
              <w:rPr>
                <w:rFonts w:eastAsia="方正仿宋_GBK"/>
                <w:sz w:val="24"/>
              </w:rPr>
            </w:pPr>
            <w:r>
              <w:rPr>
                <w:rFonts w:eastAsia="方正仿宋_GBK" w:hint="eastAsia"/>
                <w:sz w:val="24"/>
              </w:rPr>
              <w:t>数据保护的结束日期：</w:t>
            </w:r>
          </w:p>
          <w:p>
            <w:pPr>
              <w:pStyle w:val="37"/>
              <w:snapToGrid w:val="0"/>
              <w:spacing w:line="400" w:lineRule="exact"/>
              <w:jc w:val="center"/>
              <w:rPr>
                <w:rFonts w:eastAsia="方正仿宋_GBK"/>
                <w:sz w:val="24"/>
              </w:rPr>
            </w:pPr>
            <w:r>
              <w:rPr>
                <w:rFonts w:eastAsia="方正仿宋_GBK"/>
                <w:sz w:val="24"/>
              </w:rPr>
              <w:t>2028 </w:t>
            </w:r>
            <w:r>
              <w:rPr>
                <w:rFonts w:eastAsia="方正仿宋_GBK" w:hint="eastAsia"/>
                <w:sz w:val="24"/>
              </w:rPr>
              <w:t>年</w:t>
            </w:r>
            <w:r>
              <w:rPr>
                <w:rFonts w:eastAsia="方正仿宋_GBK"/>
                <w:sz w:val="24"/>
              </w:rPr>
              <w:t> 2 </w:t>
            </w:r>
            <w:r>
              <w:rPr>
                <w:rFonts w:eastAsia="方正仿宋_GBK" w:hint="eastAsia"/>
                <w:sz w:val="24"/>
              </w:rPr>
              <w:t>月</w:t>
            </w:r>
            <w:r>
              <w:rPr>
                <w:rFonts w:eastAsia="方正仿宋_GBK"/>
                <w:sz w:val="24"/>
              </w:rPr>
              <w:t> 6 </w:t>
            </w:r>
            <w:r>
              <w:rPr>
                <w:rFonts w:eastAsia="方正仿宋_GBK" w:hint="eastAsia"/>
                <w:sz w:val="24"/>
              </w:rPr>
              <w:t>日。</w:t>
            </w: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法规</w:t>
            </w:r>
            <w:r>
              <w:rPr>
                <w:rFonts w:eastAsia="方正仿宋_GBK"/>
                <w:sz w:val="24"/>
              </w:rPr>
              <w:t> （EU） No 609/2013 </w:t>
            </w:r>
            <w:r>
              <w:rPr>
                <w:rFonts w:eastAsia="方正仿宋_GBK" w:hint="eastAsia"/>
                <w:sz w:val="24"/>
              </w:rPr>
              <w:t>中定义的婴儿配方奶粉</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0.23 g/L </w:t>
            </w:r>
            <w:r>
              <w:rPr>
                <w:rFonts w:eastAsia="方正仿宋_GBK" w:hint="eastAsia"/>
                <w:sz w:val="24"/>
              </w:rPr>
              <w:t>在最终产品中可供使用、按原样销售或按照制造商的指示重新配制</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根据法规</w:t>
            </w:r>
            <w:r>
              <w:rPr>
                <w:rFonts w:eastAsia="方正仿宋_GBK"/>
                <w:sz w:val="24"/>
              </w:rPr>
              <w:t> （EU） No 609/2013 </w:t>
            </w:r>
            <w:r>
              <w:rPr>
                <w:rFonts w:eastAsia="方正仿宋_GBK" w:hint="eastAsia"/>
                <w:sz w:val="24"/>
              </w:rPr>
              <w:t>定义的后续配方奶粉</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0.28 g/L </w:t>
            </w:r>
            <w:r>
              <w:rPr>
                <w:rFonts w:eastAsia="方正仿宋_GBK" w:hint="eastAsia"/>
                <w:sz w:val="24"/>
              </w:rPr>
              <w:t>在最终产品中可供使用、按原样销售或按照制造商的指示重新配制</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根据法规</w:t>
            </w:r>
            <w:r>
              <w:rPr>
                <w:rFonts w:eastAsia="方正仿宋_GBK"/>
                <w:sz w:val="24"/>
              </w:rPr>
              <w:t> （EU）No 609/2013 </w:t>
            </w:r>
            <w:r>
              <w:rPr>
                <w:rFonts w:eastAsia="方正仿宋_GBK" w:hint="eastAsia"/>
                <w:sz w:val="24"/>
              </w:rPr>
              <w:t>定义的婴幼儿加工谷物食品和婴幼儿婴儿食品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0.28 g/L </w:t>
            </w:r>
            <w:r>
              <w:rPr>
                <w:rFonts w:eastAsia="方正仿宋_GBK" w:hint="eastAsia"/>
                <w:sz w:val="24"/>
              </w:rPr>
              <w:t>或</w:t>
            </w:r>
            <w:r>
              <w:rPr>
                <w:rFonts w:eastAsia="方正仿宋_GBK"/>
                <w:sz w:val="24"/>
              </w:rPr>
              <w:t> 0.28 g/kg </w:t>
            </w:r>
            <w:r>
              <w:rPr>
                <w:rFonts w:eastAsia="方正仿宋_GBK" w:hint="eastAsia"/>
                <w:sz w:val="24"/>
              </w:rPr>
              <w:t>在最终产品中准备使用、销售或按照制造商的指示重新配制</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供幼儿使用的乳基饮料和类似产品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0.28 g/L </w:t>
            </w:r>
            <w:r>
              <w:rPr>
                <w:rFonts w:eastAsia="方正仿宋_GBK" w:hint="eastAsia"/>
                <w:sz w:val="24"/>
              </w:rPr>
              <w:t>在最终产品中准备好使用，按制造商的指示销售或重新配制</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根据法规</w:t>
            </w:r>
            <w:r>
              <w:rPr>
                <w:rFonts w:eastAsia="方正仿宋_GBK"/>
                <w:sz w:val="24"/>
              </w:rPr>
              <w:t> （EU） No 609/2013 </w:t>
            </w:r>
            <w:r>
              <w:rPr>
                <w:rFonts w:eastAsia="方正仿宋_GBK" w:hint="eastAsia"/>
                <w:sz w:val="24"/>
              </w:rPr>
              <w:t>定义的婴幼儿特殊医学用途食品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根据产品预期使用的婴幼儿的特殊营养需求，但在任何情况下，成品中的即用型、销售产品中的含量不得高于</w:t>
            </w:r>
            <w:r>
              <w:rPr>
                <w:rFonts w:eastAsia="方正仿宋_GBK"/>
                <w:sz w:val="24"/>
              </w:rPr>
              <w:t> 0.23 g/L </w:t>
            </w:r>
            <w:r>
              <w:rPr>
                <w:rFonts w:eastAsia="方正仿宋_GBK" w:hint="eastAsia"/>
                <w:sz w:val="24"/>
              </w:rPr>
              <w:t>或</w:t>
            </w:r>
            <w:r>
              <w:rPr>
                <w:rFonts w:eastAsia="方正仿宋_GBK"/>
                <w:sz w:val="24"/>
              </w:rPr>
              <w:t> 0.28 g/kg</w:t>
            </w:r>
            <w:r>
              <w:rPr>
                <w:rFonts w:eastAsia="方正仿宋_GBK" w:hint="eastAsia"/>
                <w:sz w:val="24"/>
              </w:rPr>
              <w:t>，或</w:t>
            </w:r>
            <w:r>
              <w:rPr>
                <w:rFonts w:eastAsia="方正仿宋_GBK"/>
                <w:sz w:val="24"/>
              </w:rPr>
              <w:t> </w:t>
            </w:r>
            <w:r>
              <w:rPr>
                <w:rFonts w:eastAsia="方正仿宋_GBK" w:hint="eastAsia"/>
                <w:sz w:val="24"/>
              </w:rPr>
              <w:t>按照制造商的指示重新配制。</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根据法规</w:t>
            </w:r>
            <w:r>
              <w:rPr>
                <w:rFonts w:eastAsia="方正仿宋_GBK"/>
                <w:sz w:val="24"/>
              </w:rPr>
              <w:t> （EU） No 609/2013 </w:t>
            </w:r>
            <w:r>
              <w:rPr>
                <w:rFonts w:eastAsia="方正仿宋_GBK" w:hint="eastAsia"/>
                <w:sz w:val="24"/>
              </w:rPr>
              <w:t>定义的特殊医学用途食品，不包括婴幼儿食品</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根据产品所针对人群的特殊营养需求</w:t>
            </w:r>
          </w:p>
        </w:tc>
        <w:tc>
          <w:tcPr>
            <w:tcW w:w="1418" w:type="dxa"/>
            <w:vMerge/>
            <w:tcBorders>
              <w:left w:val="single" w:sz="4" w:space="0" w:color="auto"/>
              <w:right w:val="single" w:sz="4" w:space="0" w:color="auto"/>
            </w:tcBorders>
            <w:shd w:val="clear" w:color="auto" w:fill="auto"/>
            <w:vAlign w:val="center"/>
          </w:tcPr>
          <w:p/>
        </w:tc>
        <w:tc>
          <w:tcPr>
            <w:tcW w:w="2191" w:type="dxa"/>
            <w:vMerge/>
            <w:tcBorders>
              <w:left w:val="single" w:sz="4" w:space="0" w:color="auto"/>
              <w:right w:val="single" w:sz="4" w:space="0" w:color="auto"/>
            </w:tcBorders>
            <w:shd w:val="clear" w:color="auto" w:fill="auto"/>
            <w:vAlign w:val="center"/>
          </w:tcPr>
          <w:p/>
        </w:tc>
      </w:tr>
      <w:tr>
        <w:trPr>
          <w:trHeight w:val="20"/>
          <w:tblHeader/>
        </w:trPr>
        <w:tc>
          <w:tcPr>
            <w:tcW w:w="1173" w:type="dxa"/>
            <w:vMerge/>
            <w:tcBorders>
              <w:left w:val="single" w:sz="4" w:space="0" w:color="auto"/>
              <w:bottom w:val="single" w:sz="4" w:space="0" w:color="auto"/>
              <w:right w:val="single" w:sz="4" w:space="0" w:color="auto"/>
            </w:tcBorders>
            <w:shd w:val="clear" w:color="auto" w:fill="auto"/>
            <w:vAlign w:val="center"/>
          </w:tc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hint="eastAsia"/>
                <w:sz w:val="24"/>
              </w:rPr>
              <w:t>指令</w:t>
            </w:r>
            <w:r>
              <w:rPr>
                <w:rFonts w:eastAsia="方正仿宋_GBK"/>
                <w:sz w:val="24"/>
              </w:rPr>
              <w:t> 2002/46/EC </w:t>
            </w:r>
            <w:r>
              <w:rPr>
                <w:rFonts w:eastAsia="方正仿宋_GBK" w:hint="eastAsia"/>
                <w:sz w:val="24"/>
              </w:rPr>
              <w:t>中定义的食品补充剂，适用于一般人群，不包括婴幼儿</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7"/>
              <w:snapToGrid w:val="0"/>
              <w:spacing w:line="400" w:lineRule="exact"/>
              <w:jc w:val="center"/>
              <w:rPr>
                <w:rFonts w:eastAsia="方正仿宋_GBK"/>
                <w:sz w:val="24"/>
              </w:rPr>
            </w:pPr>
            <w:r>
              <w:rPr>
                <w:rFonts w:eastAsia="方正仿宋_GBK"/>
                <w:sz w:val="24"/>
              </w:rPr>
              <w:t>0.7 g/</w:t>
            </w:r>
            <w:r>
              <w:rPr>
                <w:rFonts w:eastAsia="方正仿宋_GBK" w:hint="eastAsia"/>
                <w:sz w:val="24"/>
              </w:rPr>
              <w:t>天</w:t>
            </w:r>
          </w:p>
        </w:tc>
        <w:tc>
          <w:tcPr>
            <w:tcW w:w="1418" w:type="dxa"/>
            <w:vMerge/>
            <w:tcBorders>
              <w:left w:val="single" w:sz="4" w:space="0" w:color="auto"/>
              <w:bottom w:val="single" w:sz="4" w:space="0" w:color="auto"/>
              <w:right w:val="single" w:sz="4" w:space="0" w:color="auto"/>
            </w:tcBorders>
            <w:shd w:val="clear" w:color="auto" w:fill="auto"/>
            <w:vAlign w:val="center"/>
          </w:tcPr>
          <w:p/>
        </w:tc>
        <w:tc>
          <w:tcPr>
            <w:tcW w:w="2191" w:type="dxa"/>
            <w:vMerge/>
            <w:tcBorders>
              <w:left w:val="single" w:sz="4" w:space="0" w:color="auto"/>
              <w:bottom w:val="single" w:sz="4" w:space="0" w:color="auto"/>
              <w:right w:val="single" w:sz="4" w:space="0" w:color="auto"/>
            </w:tcBorders>
            <w:shd w:val="clear" w:color="auto" w:fill="auto"/>
            <w:vAlign w:val="center"/>
          </w:tcPr>
          <w:p/>
        </w:tc>
      </w:tr>
    </w:tbl>
    <w:p>
      <w:pPr>
        <w:pStyle w:val="26"/>
        <w:spacing w:beforeLines="50" w:before="156" w:afterLines="50" w:after="156" w:line="560" w:lineRule="exact"/>
        <w:ind w:left="640"/>
        <w:rPr>
          <w:rFonts w:ascii="方正黑体_GBK" w:eastAsia="方正黑体_GBK" w:cs="宋体"/>
          <w:b w:val="0"/>
          <w:kern w:val="0"/>
          <w:sz w:val="32"/>
          <w:szCs w:val="32"/>
        </w:rPr>
      </w:pPr>
    </w:p>
    <w:p>
      <w:pPr>
        <w:pStyle w:val="34"/>
        <w:spacing w:beforeLines="50" w:before="156" w:afterLines="50" w:after="156" w:line="560" w:lineRule="exact"/>
        <w:ind w:left="640"/>
        <w:rPr>
          <w:rFonts w:ascii="方正黑体_GBK" w:eastAsia="方正黑体_GBK" w:cs="宋体"/>
          <w:b w:val="0"/>
          <w:kern w:val="0"/>
          <w:sz w:val="32"/>
          <w:szCs w:val="32"/>
        </w:rPr>
      </w:pPr>
      <w:bookmarkStart w:id="15" w:name="_Toc125803285"/>
      <w:r>
        <w:rPr>
          <w:rFonts w:ascii="方正黑体_GBK" w:eastAsia="方正黑体_GBK" w:cs="宋体" w:hint="eastAsia"/>
          <w:b w:val="0"/>
          <w:kern w:val="0"/>
          <w:sz w:val="32"/>
          <w:szCs w:val="32"/>
        </w:rPr>
        <w:t>欧盟发布关于硒可耐受最高摄入量的科学意见</w:t>
      </w:r>
      <w:bookmarkEnd w:id="15"/>
    </w:p>
    <w:p>
      <w:pPr>
        <w:pStyle w:val="35"/>
        <w:ind w:firstLineChars="200" w:firstLine="640"/>
        <w:rPr>
          <w:rFonts w:eastAsia="方正仿宋_GBK"/>
          <w:kern w:val="0"/>
          <w:sz w:val="32"/>
          <w:szCs w:val="32"/>
        </w:rPr>
      </w:pPr>
      <w:r>
        <w:rPr>
          <w:rFonts w:eastAsia="方正仿宋_GBK"/>
          <w:kern w:val="0"/>
          <w:sz w:val="32"/>
          <w:szCs w:val="32"/>
        </w:rPr>
        <w:t>2023年1月20日，欧盟发布10.2903/j.efsa.2023.7704文件，应欧盟委员会的要求，</w:t>
      </w:r>
      <w:r>
        <w:rPr>
          <w:rFonts w:eastAsia="方正仿宋_GBK" w:hint="eastAsia"/>
          <w:kern w:val="0"/>
          <w:sz w:val="32"/>
          <w:szCs w:val="32"/>
        </w:rPr>
        <w:t>欧洲</w:t>
      </w:r>
      <w:r>
        <w:rPr>
          <w:rFonts w:eastAsia="方正仿宋_GBK"/>
          <w:kern w:val="0"/>
          <w:sz w:val="32"/>
          <w:szCs w:val="32"/>
        </w:rPr>
        <w:t>食品安全局营养、新型食品和食物过敏原小组（NDA）被要求就硒的可耐受最高摄入量（UL）提供科学意见。进行了一项人体随机对照试验（硒和维生素E癌症预防试验（SELECT））确定了330μg/天的最低观察到的不良反应水平（LOAEL），其不确定因子为1.3。成年男性和女性（包括孕妇和哺乳期妇女）的可耐受最高摄入量为255μg/天。根据现有的摄入量数据，成年消费者不太可能超过可耐受最高摄入量，除了含有高剂量硒的食品补充剂食用者或巴西坚果的消费者。目前欧洲国家从幼儿和儿童的食物（不包括食品补充剂）中摄入硒的水平没有报告任何风险，食物中天然成分产生的硒摄入量不会引起关注。幼儿和儿童的含硒补充剂应谨慎使用。具体要求如下表所示。</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36"/>
        <w:gridCol w:w="5165"/>
      </w:tblGrid>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年龄组</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男性和女性可耐受上限摄入量</w:t>
            </w:r>
            <w:r>
              <w:rPr>
                <w:rFonts w:eastAsia="方正仿宋_GBK"/>
                <w:b/>
                <w:sz w:val="24"/>
              </w:rPr>
              <w:t> </w:t>
            </w:r>
            <w:r>
              <w:rPr>
                <w:rFonts w:eastAsia="方正仿宋_GBK" w:hint="eastAsia"/>
                <w:b/>
                <w:sz w:val="24"/>
              </w:rPr>
              <w:t> （</w:t>
            </w:r>
            <w:r>
              <w:rPr>
                <w:rFonts w:eastAsia="方正仿宋_GBK"/>
                <w:kern w:val="0"/>
                <w:sz w:val="32"/>
                <w:szCs w:val="32"/>
              </w:rPr>
              <w:t>μg</w:t>
            </w:r>
            <w:r>
              <w:rPr>
                <w:rFonts w:eastAsia="方正仿宋_GBK" w:hint="eastAsia"/>
                <w:b/>
                <w:sz w:val="24"/>
              </w:rPr>
              <w:t xml:space="preserve"> /天）</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4–6 </w:t>
            </w:r>
            <w:r>
              <w:rPr>
                <w:rFonts w:eastAsia="方正仿宋_GBK" w:hint="eastAsia"/>
                <w:sz w:val="24"/>
              </w:rPr>
              <w:t>个月</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45</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7–11 </w:t>
            </w:r>
            <w:r>
              <w:rPr>
                <w:rFonts w:eastAsia="方正仿宋_GBK" w:hint="eastAsia"/>
                <w:sz w:val="24"/>
              </w:rPr>
              <w:t>个月</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55</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1–3 </w:t>
            </w:r>
            <w:r>
              <w:rPr>
                <w:rFonts w:eastAsia="方正仿宋_GBK" w:hint="eastAsia"/>
                <w:sz w:val="24"/>
              </w:rPr>
              <w:t>年</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70</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4–6 </w:t>
            </w:r>
            <w:r>
              <w:rPr>
                <w:rFonts w:eastAsia="方正仿宋_GBK" w:hint="eastAsia"/>
                <w:sz w:val="24"/>
              </w:rPr>
              <w:t>年</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95</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7–10 </w:t>
            </w:r>
            <w:r>
              <w:rPr>
                <w:rFonts w:eastAsia="方正仿宋_GBK" w:hint="eastAsia"/>
                <w:sz w:val="24"/>
              </w:rPr>
              <w:t>年</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130</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11–14 </w:t>
            </w:r>
            <w:r>
              <w:rPr>
                <w:rFonts w:eastAsia="方正仿宋_GBK" w:hint="eastAsia"/>
                <w:sz w:val="24"/>
              </w:rPr>
              <w:t>年</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180</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15–17 </w:t>
            </w:r>
            <w:r>
              <w:rPr>
                <w:rFonts w:eastAsia="方正仿宋_GBK" w:hint="eastAsia"/>
                <w:sz w:val="24"/>
              </w:rPr>
              <w:t>年</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230</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成年人</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255</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孕妇</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255</w:t>
            </w:r>
          </w:p>
        </w:tc>
      </w:tr>
      <w:tr>
        <w:trPr>
          <w:trHeight w:val="20"/>
          <w:tblHeader/>
        </w:trPr>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哺乳期妇女</w:t>
            </w:r>
          </w:p>
        </w:tc>
        <w:tc>
          <w:tcPr>
            <w:tcW w:w="51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sz w:val="24"/>
              </w:rPr>
              <w:t>255</w:t>
            </w:r>
          </w:p>
        </w:tc>
      </w:tr>
    </w:tbl>
    <w:p>
      <w:pPr>
        <w:pStyle w:val="34"/>
        <w:spacing w:beforeLines="50" w:before="156" w:afterLines="50" w:after="156" w:line="560" w:lineRule="exact"/>
        <w:ind w:left="640"/>
        <w:rPr>
          <w:rFonts w:ascii="方正黑体_GBK" w:eastAsia="方正黑体_GBK" w:cs="宋体"/>
          <w:b w:val="0"/>
          <w:kern w:val="0"/>
          <w:sz w:val="32"/>
          <w:szCs w:val="32"/>
        </w:rPr>
      </w:pPr>
      <w:bookmarkStart w:id="16" w:name="_Toc125803286"/>
    </w:p>
    <w:p>
      <w:pPr>
        <w:pStyle w:val="34"/>
        <w:spacing w:beforeLines="50" w:before="156" w:afterLines="50" w:after="156" w:line="560" w:lineRule="exact"/>
        <w:ind w:firstLineChars="200" w:firstLine="640"/>
        <w:rPr>
          <w:rFonts w:ascii="方正黑体_GBK" w:eastAsia="方正黑体_GBK" w:cs="宋体"/>
          <w:b w:val="0"/>
          <w:kern w:val="0"/>
          <w:sz w:val="32"/>
          <w:szCs w:val="32"/>
        </w:rPr>
      </w:pPr>
      <w:r>
        <w:rPr>
          <w:rFonts w:ascii="方正黑体_GBK" w:eastAsia="方正黑体_GBK" w:cs="宋体" w:hint="eastAsia"/>
          <w:b w:val="0"/>
          <w:kern w:val="0"/>
          <w:sz w:val="32"/>
          <w:szCs w:val="32"/>
        </w:rPr>
        <w:t>欧盟更正条例（EU）2022/1363中有关氯氟吡氧乙酸残留定义</w:t>
      </w:r>
      <w:bookmarkEnd w:id="16"/>
    </w:p>
    <w:p>
      <w:pPr>
        <w:pStyle w:val="35"/>
        <w:ind w:firstLineChars="200" w:firstLine="640"/>
        <w:rPr>
          <w:rFonts w:eastAsia="方正仿宋_GBK"/>
          <w:kern w:val="0"/>
          <w:sz w:val="32"/>
          <w:szCs w:val="32"/>
        </w:rPr>
      </w:pPr>
      <w:r>
        <w:rPr>
          <w:rFonts w:eastAsia="方正仿宋_GBK" w:hint="eastAsia"/>
          <w:kern w:val="0"/>
          <w:sz w:val="32"/>
          <w:szCs w:val="32"/>
        </w:rPr>
        <w:t>欧盟官方公报2023年1月19日消息，对2022年8月3日欧盟委员会条例（EU）2022/1363进行更正。（EU）2022/1363修订欧洲议会和理事会条例（EC）No396/2005的附件II，涉及2,4-D、唑啉草酯、氰戊菊酯、霜霉威、唑嘧磺隆、氟乐灵、氯氟吡氧乙酸、异丙威和硅藻土在某些产品上的最大残留水平。此次对（EU）2022/1363的更正内容为：（1）2022年8月5日欧盟官方公报L205的第211页、在附件中的表格标题的第10栏中氯氟吡氧乙酸（Fluroxypyr）的定义修改为“氯氟吡氧乙酸、其盐类、其酯类和其共轭物之和，以氯氟吡氧乙酸表示”；（2）更正第216页有关氯氟吡氧乙酸组合的残留物定义不同农药编码号。</w:t>
      </w:r>
    </w:p>
    <w:p>
      <w:pPr>
        <w:pStyle w:val="34"/>
        <w:spacing w:beforeLines="50" w:before="156" w:afterLines="50" w:after="156" w:line="560" w:lineRule="exact"/>
        <w:ind w:left="640"/>
        <w:rPr>
          <w:rFonts w:ascii="方正黑体_GBK" w:eastAsia="方正黑体_GBK" w:cs="宋体"/>
          <w:b w:val="0"/>
          <w:kern w:val="0"/>
          <w:sz w:val="32"/>
          <w:szCs w:val="32"/>
        </w:rPr>
      </w:pPr>
      <w:bookmarkStart w:id="17" w:name="_Toc125803287"/>
    </w:p>
    <w:p>
      <w:pPr>
        <w:pStyle w:val="34"/>
        <w:spacing w:beforeLines="50" w:before="156" w:afterLines="50" w:after="156" w:line="560" w:lineRule="exact"/>
        <w:ind w:left="640"/>
        <w:rPr>
          <w:rFonts w:ascii="方正黑体_GBK" w:eastAsia="方正黑体_GBK" w:cs="宋体"/>
          <w:b w:val="0"/>
          <w:kern w:val="0"/>
          <w:sz w:val="32"/>
          <w:szCs w:val="32"/>
        </w:rPr>
      </w:pPr>
      <w:r>
        <w:rPr>
          <w:rFonts w:ascii="方正黑体_GBK" w:eastAsia="方正黑体_GBK" w:cs="宋体" w:hint="eastAsia"/>
          <w:b w:val="0"/>
          <w:kern w:val="0"/>
          <w:sz w:val="32"/>
          <w:szCs w:val="32"/>
        </w:rPr>
        <w:t>欧盟修订部分食品中多种农兽药的最大残留限量</w:t>
      </w:r>
      <w:bookmarkEnd w:id="17"/>
    </w:p>
    <w:p>
      <w:pPr>
        <w:pStyle w:val="35"/>
        <w:ind w:firstLineChars="200" w:firstLine="640"/>
        <w:rPr>
          <w:rFonts w:eastAsia="方正仿宋_GBK"/>
          <w:kern w:val="0"/>
          <w:sz w:val="32"/>
          <w:szCs w:val="32"/>
        </w:rPr>
      </w:pPr>
      <w:r>
        <w:rPr>
          <w:rFonts w:eastAsia="方正仿宋_GBK"/>
          <w:kern w:val="0"/>
          <w:sz w:val="32"/>
          <w:szCs w:val="32"/>
        </w:rPr>
        <w:t>2023</w:t>
      </w:r>
      <w:r>
        <w:rPr>
          <w:rFonts w:eastAsia="方正仿宋_GBK" w:hint="eastAsia"/>
          <w:kern w:val="0"/>
          <w:sz w:val="32"/>
          <w:szCs w:val="32"/>
        </w:rPr>
        <w:t>年1月19日，欧盟发布（EU）2023/127、（EU）2023/128、（EU）2023/129条例，修订部分食品中灭螨醌、苯霜灵等农兽药的最大残留限量，适用于所有成员国，自发布后第20日生效，部分限量见下表，其中灭螨醌的限量从2月23日起适用；灭菌酯、苄草丹、霜霉灭限量从2月26日起适用，其他限量从8月8日起适用。</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57"/>
        <w:gridCol w:w="2127"/>
        <w:gridCol w:w="2268"/>
        <w:gridCol w:w="2049"/>
      </w:tblGrid>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农兽药名</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食品名称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修订后最大残留限量（mg/kg）</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b/>
                <w:sz w:val="24"/>
              </w:rPr>
            </w:pPr>
            <w:r>
              <w:rPr>
                <w:rFonts w:eastAsia="方正仿宋_GBK" w:hint="eastAsia"/>
                <w:b/>
                <w:sz w:val="24"/>
              </w:rPr>
              <w:t>原最大残留限量（mg/kg）</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苯霜灵（Benalaxyl）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番茄、茄子</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0.3</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0.5</w:t>
            </w:r>
          </w:p>
        </w:tc>
      </w:tr>
      <w:tr>
        <w:trPr>
          <w:trHeight w:val="20"/>
          <w:tblHeader/>
        </w:trPr>
        <w:tc>
          <w:tcPr>
            <w:tcW w:w="3157" w:type="dxa"/>
            <w:vMerge w:val="restart"/>
            <w:tcBorders>
              <w:top w:val="single" w:sz="4" w:space="0" w:color="auto"/>
              <w:left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溴苯腈（Bromoxynil）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0.01*</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157" w:type="dxa"/>
            <w:vMerge/>
            <w:tcBorders>
              <w:left w:val="single" w:sz="4" w:space="0" w:color="auto"/>
              <w:right w:val="single" w:sz="4" w:space="0" w:color="auto"/>
            </w:tcBorders>
            <w:shd w:val="clear" w:color="auto" w:fill="auto"/>
            <w:vAlign w:val="center"/>
          </w:tc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韭菜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0.02*</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0.08</w:t>
            </w:r>
          </w:p>
        </w:tc>
      </w:tr>
      <w:tr>
        <w:trPr>
          <w:trHeight w:val="20"/>
          <w:tblHeader/>
        </w:trPr>
        <w:tc>
          <w:tcPr>
            <w:tcW w:w="3157" w:type="dxa"/>
            <w:vMerge/>
            <w:tcBorders>
              <w:left w:val="single" w:sz="4" w:space="0" w:color="auto"/>
              <w:bottom w:val="single" w:sz="4" w:space="0" w:color="auto"/>
              <w:right w:val="single" w:sz="4" w:space="0" w:color="auto"/>
            </w:tcBorders>
            <w:shd w:val="clear" w:color="auto" w:fill="auto"/>
            <w:vAlign w:val="center"/>
          </w:tc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猪肝</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0.1</w:t>
            </w:r>
          </w:p>
        </w:tc>
      </w:tr>
      <w:tr>
        <w:trPr>
          <w:trHeight w:val="20"/>
          <w:tblHeader/>
        </w:trPr>
        <w:tc>
          <w:tcPr>
            <w:tcW w:w="3157" w:type="dxa"/>
            <w:vMerge w:val="restart"/>
            <w:tcBorders>
              <w:top w:val="single" w:sz="4" w:space="0" w:color="auto"/>
              <w:left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绿磺隆（Chlorsulfuron）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亚麻籽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0.1</w:t>
            </w:r>
          </w:p>
        </w:tc>
      </w:tr>
      <w:tr>
        <w:trPr>
          <w:trHeight w:val="20"/>
          <w:tblHeader/>
        </w:trPr>
        <w:tc>
          <w:tcPr>
            <w:tcW w:w="3157" w:type="dxa"/>
            <w:vMerge/>
            <w:tcBorders>
              <w:left w:val="single" w:sz="4" w:space="0" w:color="auto"/>
              <w:bottom w:val="single" w:sz="4" w:space="0" w:color="auto"/>
              <w:right w:val="single" w:sz="4" w:space="0" w:color="auto"/>
            </w:tcBorders>
            <w:shd w:val="clear" w:color="auto" w:fill="auto"/>
            <w:vAlign w:val="center"/>
          </w:tc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蜂产品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0.01*</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氟环唑（Epoxiconazole）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香料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0.1</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苯线磷 （Fenamiphos）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番茄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0.02*</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0.04</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灭螨醌（Acequinocyl）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甜椒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0.3</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0.01*</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嘧菌酯（Azoxystrobin）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油菜籽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0.7</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0.5</w:t>
            </w:r>
          </w:p>
        </w:tc>
      </w:tr>
      <w:tr>
        <w:trPr>
          <w:trHeight w:val="20"/>
          <w:tblHead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苄草丹（Prosulfocarb）</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韭菜、芹菜叶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20</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0.05</w:t>
            </w:r>
          </w:p>
        </w:tc>
      </w:tr>
      <w:tr>
        <w:trPr>
          <w:trHeight w:val="20"/>
          <w:tblHeader/>
        </w:trPr>
        <w:tc>
          <w:tcPr>
            <w:tcW w:w="3157" w:type="dxa"/>
            <w:vMerge w:val="restart"/>
            <w:tcBorders>
              <w:top w:val="single" w:sz="4" w:space="0" w:color="auto"/>
              <w:left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霜霉灭（ Valifenalate）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番茄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0.4</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0.15</w:t>
            </w:r>
          </w:p>
        </w:tc>
      </w:tr>
      <w:tr>
        <w:trPr>
          <w:trHeight w:val="20"/>
          <w:tblHeader/>
        </w:trPr>
        <w:tc>
          <w:tcPr>
            <w:tcW w:w="3157" w:type="dxa"/>
            <w:vMerge/>
            <w:tcBorders>
              <w:left w:val="single" w:sz="4" w:space="0" w:color="auto"/>
              <w:bottom w:val="single" w:sz="4" w:space="0" w:color="auto"/>
              <w:right w:val="single" w:sz="4" w:space="0" w:color="auto"/>
            </w:tcBorders>
            <w:shd w:val="clear" w:color="auto" w:fill="auto"/>
            <w:vAlign w:val="center"/>
          </w:tc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洋葱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rPr>
            </w:pPr>
            <w:r>
              <w:rPr>
                <w:rFonts w:eastAsia="方正仿宋_GBK" w:hint="eastAsia"/>
                <w:sz w:val="24"/>
              </w:rPr>
              <w:t>0.5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35"/>
              <w:snapToGrid w:val="0"/>
              <w:spacing w:line="400" w:lineRule="exact"/>
              <w:jc w:val="center"/>
              <w:rPr>
                <w:rFonts w:eastAsia="方正仿宋_GBK"/>
                <w:sz w:val="24"/>
                <w:lang w:eastAsia="ja-JP"/>
              </w:rPr>
            </w:pPr>
            <w:r>
              <w:rPr>
                <w:rFonts w:eastAsia="方正仿宋_GBK" w:hint="eastAsia"/>
                <w:sz w:val="24"/>
                <w:lang w:eastAsia="ja-JP"/>
              </w:rPr>
              <w:t>0.01*</w:t>
            </w:r>
          </w:p>
        </w:tc>
      </w:tr>
    </w:tbl>
    <w:p>
      <w:pPr>
        <w:pStyle w:val="26"/>
        <w:spacing w:beforeLines="50" w:before="156" w:afterLines="50" w:after="156" w:line="560" w:lineRule="exact"/>
        <w:ind w:left="640"/>
        <w:rPr>
          <w:rFonts w:ascii="方正黑体_GBK" w:eastAsia="方正黑体_GBK" w:cs="宋体"/>
          <w:b w:val="0"/>
          <w:kern w:val="0"/>
          <w:sz w:val="32"/>
          <w:szCs w:val="32"/>
        </w:rPr>
      </w:pPr>
    </w:p>
    <w:p>
      <w:pPr>
        <w:pStyle w:val="32"/>
        <w:spacing w:beforeLines="50" w:before="156" w:afterLines="50" w:after="156" w:line="560" w:lineRule="exact"/>
        <w:ind w:left="640"/>
        <w:rPr>
          <w:rFonts w:ascii="方正黑体_GBK" w:eastAsia="方正黑体_GBK" w:cs="宋体"/>
          <w:b w:val="0"/>
          <w:kern w:val="0"/>
          <w:sz w:val="32"/>
          <w:szCs w:val="32"/>
        </w:rPr>
      </w:pPr>
      <w:bookmarkStart w:id="18" w:name="_Toc125803283"/>
      <w:r>
        <w:rPr>
          <w:rFonts w:ascii="方正黑体_GBK" w:eastAsia="方正黑体_GBK" w:cs="宋体" w:hint="eastAsia"/>
          <w:b w:val="0"/>
          <w:kern w:val="0"/>
          <w:sz w:val="32"/>
          <w:szCs w:val="32"/>
        </w:rPr>
        <w:t>欧盟修订独立小型酒精饮料生产商证书和认证要求</w:t>
      </w:r>
      <w:bookmarkEnd w:id="18"/>
    </w:p>
    <w:p>
      <w:pPr>
        <w:pStyle w:val="33"/>
        <w:ind w:firstLineChars="200" w:firstLine="640"/>
        <w:rPr>
          <w:rFonts w:eastAsia="方正仿宋_GBK"/>
          <w:kern w:val="0"/>
          <w:sz w:val="32"/>
          <w:szCs w:val="32"/>
        </w:rPr>
      </w:pPr>
      <w:r>
        <w:rPr>
          <w:rFonts w:eastAsia="方正仿宋_GBK" w:hint="eastAsia"/>
          <w:kern w:val="0"/>
          <w:sz w:val="32"/>
          <w:szCs w:val="32"/>
        </w:rPr>
        <w:t>欧盟官方公报2023年1月24日消息，欧盟委员会1月23日发布实施条例（EU）2023/157，修订实施条例（EU）2021/2266《关于在电子简化行政文件中提及独立的小型酒精饮料生产商的证书和自我认证的问题》。（EU）2021/2266主要修订内容包括：（1）第2条修改如下：标题修改为“在消费税货物流动的行政文件中提及证书”；绪论部分部分修订了行政文件中提及证书以及应包含的信息；（2）第3条、第6条被删除。（3）第5条标题修改为“在消费税货物流动的自我证明的情况下，对行政文件的填写要求”。第5条第3款由以下内容取代：“3.独立小生产者的酒精饮料年产量应在行政文件的17n框中申报，如（EU）2022/1636号授权条例附件一的表1所规定。数量应以百升为单位，但如果是乙醇，则应以百升纯酒精为单位。”该条例应在欧洲联盟官方公报公布后的第二十日生效；应从2023年2月13日起适用；条例的全部内容具有约束力，并直接适用于所有成员国。</w:t>
      </w:r>
    </w:p>
    <w:p>
      <w:pPr>
        <w:pStyle w:val="26"/>
        <w:spacing w:beforeLines="50" w:before="156" w:afterLines="50" w:after="156" w:line="560" w:lineRule="exact"/>
        <w:ind w:left="640"/>
        <w:rPr>
          <w:rFonts w:ascii="方正黑体_GBK" w:eastAsia="方正黑体_GBK" w:cs="宋体"/>
          <w:b w:val="0"/>
          <w:kern w:val="0"/>
          <w:sz w:val="32"/>
          <w:szCs w:val="32"/>
        </w:rPr>
      </w:pPr>
    </w:p>
    <w:p>
      <w:pPr>
        <w:pStyle w:val="30"/>
        <w:spacing w:beforeLines="50" w:before="156" w:afterLines="50" w:after="156" w:line="560" w:lineRule="exact"/>
        <w:ind w:left="640"/>
        <w:rPr>
          <w:rFonts w:ascii="方正黑体_GBK" w:eastAsia="方正黑体_GBK" w:cs="宋体"/>
          <w:b w:val="0"/>
          <w:kern w:val="0"/>
          <w:sz w:val="32"/>
          <w:szCs w:val="32"/>
        </w:rPr>
      </w:pPr>
      <w:bookmarkStart w:id="19" w:name="_Toc125022713"/>
      <w:r>
        <w:rPr>
          <w:rFonts w:ascii="方正黑体_GBK" w:eastAsia="方正黑体_GBK" w:cs="宋体" w:hint="eastAsia"/>
          <w:b w:val="0"/>
          <w:kern w:val="0"/>
          <w:sz w:val="32"/>
          <w:szCs w:val="32"/>
        </w:rPr>
        <w:t>欧盟修订某些动物及动物源性产品入境相关规定</w:t>
      </w:r>
      <w:bookmarkEnd w:id="19"/>
    </w:p>
    <w:p>
      <w:pPr>
        <w:pStyle w:val="31"/>
        <w:ind w:firstLineChars="200" w:firstLine="640"/>
        <w:rPr>
          <w:rFonts w:eastAsia="方正仿宋_GBK"/>
          <w:kern w:val="0"/>
          <w:sz w:val="32"/>
          <w:szCs w:val="32"/>
        </w:rPr>
      </w:pPr>
      <w:r>
        <w:rPr>
          <w:rFonts w:eastAsia="方正仿宋_GBK" w:hint="eastAsia"/>
          <w:kern w:val="0"/>
          <w:sz w:val="32"/>
          <w:szCs w:val="32"/>
        </w:rPr>
        <w:t>欧盟官方公报2023年1月18日消息，2022年11月9日，欧盟委员会发布授权条例（EU）2023/119，修订授权条例（EU）2020/692、补充欧洲议会和理事会的条例（EU）2016/429，涉及某些动物、胚胎产品和动物源性产品进入欧盟的规则，以及进入后的流动和处理。（EU）2020/692修订如下主要内容包括：（1）在第1条中第（6）款由以下内容取代。第五部分规定了进入欧盟的动物卫生要求，以及进入欧盟后的移动和处理，以及对以下各生命阶段的水生动物物种及其动物源性产品的要求的克减，不包括在欧盟进一步加工的活水生动物以外的动物源性产品，以及从渔船上岸的打算直接供人食用的野生水生动物和动物源性产品。（a）属于软骨鱼类、猿猴类和动植物类等的所列物种的鱼类。（b）属于软体动物门的水生软体动物的清单物种。（c）属于甲壳动物亚门的水生甲壳类。（d）属于本条例附件二十九所列物种的水生动物，这些物种对某些成员国的水生疾病具有敏感性，其国家措施已根据委员会执行决定（EU）2021/260得到批准。（2）在第124条中，增加在运输至屠宰场期间，家禽托运货物可通过第三国或未列入除鼠类外的家禽鲜肉进入欧盟的区域的条件。（3）第150条由以下内容代替。第150条“获得鲜肉的动物的原产地机构”。肉类产品只有在以下情况下才允许进入欧盟：它们是由来自某个机构的动物的鲜肉加工而成的，如果是野生动物，则来自一个地方，在该地方的10公里半径范围内，适当时包括邻国的领土，根据附件一列出的清单，在动物被屠宰或杀害之前的30天内，没有报告过与肉类产品来源物种相关的所列疾病。（4）第156条由以下内容取代。第156条“不受风险缓解处理的乳制品”的要求。（EU）2020/692主要修订了关注疾病以及已采取措施的国家和地区等信息。（EU）2023/119应在欧洲联盟官方公报公布后的第二十日生效；条例的全部内容具有约束力，并直接适用于所有成员国。</w:t>
      </w:r>
    </w:p>
    <w:p>
      <w:pPr>
        <w:pStyle w:val="26"/>
        <w:spacing w:beforeLines="50" w:before="156" w:afterLines="50" w:after="156" w:line="560" w:lineRule="exact"/>
        <w:ind w:left="640"/>
        <w:rPr>
          <w:rFonts w:ascii="方正黑体_GBK" w:eastAsia="方正黑体_GBK" w:cs="宋体"/>
          <w:b w:val="0"/>
          <w:kern w:val="0"/>
          <w:sz w:val="32"/>
          <w:szCs w:val="32"/>
        </w:rPr>
      </w:pPr>
    </w:p>
    <w:p>
      <w:pPr>
        <w:pStyle w:val="28"/>
        <w:spacing w:beforeLines="50" w:before="156" w:afterLines="50" w:after="156" w:line="560" w:lineRule="exact"/>
        <w:ind w:firstLineChars="200" w:firstLine="640"/>
        <w:rPr>
          <w:rFonts w:ascii="方正黑体_GBK" w:eastAsia="方正黑体_GBK" w:cs="宋体"/>
          <w:b w:val="0"/>
          <w:kern w:val="0"/>
          <w:sz w:val="32"/>
          <w:szCs w:val="32"/>
        </w:rPr>
      </w:pPr>
      <w:bookmarkStart w:id="20" w:name="_Toc11905835"/>
      <w:r>
        <w:rPr>
          <w:rFonts w:ascii="方正黑体_GBK" w:eastAsia="方正黑体_GBK" w:cs="宋体" w:hint="eastAsia"/>
          <w:b w:val="0"/>
          <w:kern w:val="0"/>
          <w:sz w:val="32"/>
          <w:szCs w:val="32"/>
        </w:rPr>
        <w:t>欧洲食品安全局修改大蒜、洋葱和大葱中现有的丙硫菌唑的最大残留限量</w:t>
      </w:r>
      <w:bookmarkEnd w:id="20"/>
    </w:p>
    <w:p>
      <w:pPr>
        <w:pStyle w:val="29"/>
        <w:ind w:firstLineChars="200" w:firstLine="640"/>
        <w:rPr>
          <w:rFonts w:eastAsia="方正仿宋_GBK"/>
          <w:kern w:val="0"/>
          <w:sz w:val="32"/>
          <w:szCs w:val="32"/>
        </w:rPr>
      </w:pPr>
      <w:r>
        <w:rPr>
          <w:rFonts w:eastAsia="方正仿宋_GBK" w:hint="eastAsia"/>
          <w:kern w:val="0"/>
          <w:sz w:val="32"/>
          <w:szCs w:val="32"/>
        </w:rPr>
        <w:t>2023年1月9日，欧洲食品安全局（EFSA）发布2023.7717号评估意见，修改大蒜、洋葱和大葱中现有的丙硫菌唑（</w:t>
      </w:r>
      <w:r>
        <w:rPr>
          <w:rFonts w:eastAsia="方正仿宋_GBK"/>
          <w:kern w:val="0"/>
          <w:sz w:val="32"/>
          <w:szCs w:val="32"/>
        </w:rPr>
        <w:t>prothioconazole</w:t>
      </w:r>
      <w:r>
        <w:rPr>
          <w:rFonts w:eastAsia="方正仿宋_GBK" w:hint="eastAsia"/>
          <w:kern w:val="0"/>
          <w:sz w:val="32"/>
          <w:szCs w:val="32"/>
        </w:rPr>
        <w:t>）的最大残留限量。主要内容包括：（1）根据（EC）No396/2005法规第6条，申请者Bayer</w:t>
      </w:r>
      <w:r>
        <w:rPr>
          <w:rFonts w:eastAsia="方正仿宋_GBK"/>
          <w:kern w:val="0"/>
          <w:sz w:val="32"/>
          <w:szCs w:val="32"/>
        </w:rPr>
        <w:t xml:space="preserve"> </w:t>
      </w:r>
      <w:r>
        <w:rPr>
          <w:rFonts w:eastAsia="方正仿宋_GBK" w:hint="eastAsia"/>
          <w:kern w:val="0"/>
          <w:sz w:val="32"/>
          <w:szCs w:val="32"/>
        </w:rPr>
        <w:t>SAS-Crop</w:t>
      </w:r>
      <w:r>
        <w:rPr>
          <w:rFonts w:eastAsia="方正仿宋_GBK"/>
          <w:kern w:val="0"/>
          <w:sz w:val="32"/>
          <w:szCs w:val="32"/>
        </w:rPr>
        <w:t xml:space="preserve"> </w:t>
      </w:r>
      <w:r>
        <w:rPr>
          <w:rFonts w:eastAsia="方正仿宋_GBK" w:hint="eastAsia"/>
          <w:kern w:val="0"/>
          <w:sz w:val="32"/>
          <w:szCs w:val="32"/>
        </w:rPr>
        <w:t>Science</w:t>
      </w:r>
      <w:r>
        <w:rPr>
          <w:rFonts w:eastAsia="方正仿宋_GBK"/>
          <w:kern w:val="0"/>
          <w:sz w:val="32"/>
          <w:szCs w:val="32"/>
        </w:rPr>
        <w:t xml:space="preserve"> </w:t>
      </w:r>
      <w:r>
        <w:rPr>
          <w:rFonts w:eastAsia="方正仿宋_GBK" w:hint="eastAsia"/>
          <w:kern w:val="0"/>
          <w:sz w:val="32"/>
          <w:szCs w:val="32"/>
        </w:rPr>
        <w:t>Division向荷兰国家主管部门提交了一份申请，要求修改大蒜、洋葱和大葱中活性物质丙硫菌唑的现有最大残留量（MRL）。为支持该请求而提交的数据被认为足以得出大蒜、洋葱和大葱的MRL建议。已有充分的执法分析方法，可以将审议中商品的丙硫菌唑残留量控制在0.02mg/kg的有效量化限值（LOQ）；（2）根据风险评估结果，欧洲食品安全局认为，根据报告的农业实践，短期和长期摄入丙硫菌唑导致的残留物不太可能对消费者健康造成风险。对丙硫菌唑预定用途产生的三唑衍生物代谢物的指示性暴露评估没有表明消费者的摄入问题。关于三唑衍生物（TDMs），建议成员国采取必要的风险缓解措施，以避免丙硫菌唑在所审议的主要作物上的预期用途导致轮作作物中出现TDMs；（3）附录B.4中概述了MRL建议。具体建议限量如下：</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31"/>
        <w:gridCol w:w="992"/>
        <w:gridCol w:w="1843"/>
        <w:gridCol w:w="2268"/>
        <w:gridCol w:w="3467"/>
      </w:tblGrid>
      <w:tr>
        <w:trPr>
          <w:trHeight w:val="20"/>
          <w:tblHead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b/>
                <w:sz w:val="24"/>
              </w:rPr>
            </w:pPr>
            <w:r>
              <w:rPr>
                <w:rFonts w:eastAsia="方正仿宋_GBK" w:hint="eastAsia"/>
                <w:b/>
                <w:sz w:val="24"/>
              </w:rPr>
              <w:t>代码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b/>
                <w:sz w:val="24"/>
              </w:rPr>
            </w:pPr>
            <w:r>
              <w:rPr>
                <w:rFonts w:eastAsia="方正仿宋_GBK" w:hint="eastAsia"/>
                <w:b/>
                <w:sz w:val="24"/>
              </w:rPr>
              <w:t>商品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b/>
                <w:sz w:val="24"/>
              </w:rPr>
            </w:pPr>
            <w:r>
              <w:rPr>
                <w:rFonts w:eastAsia="方正仿宋_GBK" w:hint="eastAsia"/>
                <w:b/>
                <w:sz w:val="24"/>
              </w:rPr>
              <w:t>现有最大残留限量</w:t>
            </w:r>
            <w:r>
              <w:rPr>
                <w:rFonts w:eastAsia="方正仿宋_GBK"/>
                <w:b/>
                <w:sz w:val="24"/>
              </w:rPr>
              <w:t xml:space="preserve"> </w:t>
            </w:r>
            <w:r>
              <w:rPr>
                <w:rFonts w:eastAsia="方正仿宋_GBK" w:hint="eastAsia"/>
                <w:b/>
                <w:sz w:val="24"/>
              </w:rPr>
              <w:t>（</w:t>
            </w:r>
            <w:r>
              <w:rPr>
                <w:rFonts w:eastAsia="方正仿宋_GBK"/>
                <w:b/>
                <w:sz w:val="24"/>
              </w:rPr>
              <w:t>mg/kg</w:t>
            </w:r>
            <w:r>
              <w:rPr>
                <w:rFonts w:eastAsia="方正仿宋_GBK" w:hint="eastAsia"/>
                <w:b/>
                <w:sz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b/>
                <w:sz w:val="24"/>
              </w:rPr>
            </w:pPr>
            <w:r>
              <w:rPr>
                <w:rFonts w:eastAsia="方正仿宋_GBK" w:hint="eastAsia"/>
                <w:b/>
                <w:sz w:val="24"/>
              </w:rPr>
              <w:t>拟修改修改的最大残留限量（</w:t>
            </w:r>
            <w:r>
              <w:rPr>
                <w:rFonts w:eastAsia="方正仿宋_GBK"/>
                <w:b/>
                <w:sz w:val="24"/>
              </w:rPr>
              <w:t>mg/kg</w:t>
            </w:r>
            <w:r>
              <w:rPr>
                <w:rFonts w:eastAsia="方正仿宋_GBK" w:hint="eastAsia"/>
                <w:b/>
                <w:sz w:val="24"/>
              </w:rPr>
              <w:t>）</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b/>
                <w:sz w:val="24"/>
              </w:rPr>
            </w:pPr>
            <w:r>
              <w:rPr>
                <w:rFonts w:eastAsia="方正仿宋_GBK" w:hint="eastAsia"/>
                <w:b/>
                <w:sz w:val="24"/>
              </w:rPr>
              <w:t>意见</w:t>
            </w:r>
            <w:r>
              <w:rPr>
                <w:rFonts w:eastAsia="方正仿宋_GBK"/>
                <w:b/>
                <w:sz w:val="24"/>
              </w:rPr>
              <w:t>/</w:t>
            </w:r>
            <w:r>
              <w:rPr>
                <w:rFonts w:eastAsia="方正仿宋_GBK" w:hint="eastAsia"/>
                <w:b/>
                <w:sz w:val="24"/>
              </w:rPr>
              <w:t>理由</w:t>
            </w:r>
          </w:p>
        </w:tc>
      </w:tr>
      <w:tr>
        <w:trPr>
          <w:trHeight w:val="20"/>
          <w:tblHeader/>
        </w:trPr>
        <w:tc>
          <w:tcPr>
            <w:tcW w:w="9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left"/>
              <w:rPr>
                <w:rFonts w:eastAsia="方正仿宋_GBK"/>
                <w:sz w:val="24"/>
              </w:rPr>
            </w:pPr>
            <w:r>
              <w:rPr>
                <w:rFonts w:eastAsia="方正仿宋_GBK" w:hint="eastAsia"/>
                <w:sz w:val="24"/>
              </w:rPr>
              <w:t>强制残留定义：丙硫菌唑：丙硫菌唑</w:t>
            </w:r>
            <w:r>
              <w:rPr>
                <w:rFonts w:eastAsia="方正仿宋_GBK"/>
                <w:sz w:val="24"/>
              </w:rPr>
              <w:t>-</w:t>
            </w:r>
            <w:r>
              <w:rPr>
                <w:rFonts w:eastAsia="方正仿宋_GBK" w:hint="eastAsia"/>
                <w:sz w:val="24"/>
              </w:rPr>
              <w:t>脱硫菌素（异构体总和）</w:t>
            </w:r>
          </w:p>
        </w:tc>
      </w:tr>
      <w:tr>
        <w:trPr>
          <w:trHeight w:val="1360"/>
          <w:tblHead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0220010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hint="eastAsia"/>
                <w:sz w:val="24"/>
              </w:rPr>
              <w:t>大蒜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lang w:eastAsia="ja-JP"/>
              </w:rPr>
            </w:pPr>
            <w:r>
              <w:rPr>
                <w:rFonts w:eastAsia="方正仿宋_GBK"/>
                <w:sz w:val="24"/>
                <w:lang w:eastAsia="ja-JP"/>
              </w:rPr>
              <w:t>0.02</w:t>
            </w:r>
          </w:p>
        </w:tc>
        <w:tc>
          <w:tcPr>
            <w:tcW w:w="3467" w:type="dxa"/>
            <w:vMerge w:val="restart"/>
            <w:tcBorders>
              <w:top w:val="single" w:sz="4" w:space="0" w:color="auto"/>
              <w:left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hint="eastAsia"/>
                <w:sz w:val="24"/>
              </w:rPr>
              <w:t>1</w:t>
            </w:r>
            <w:r>
              <w:rPr>
                <w:rFonts w:eastAsia="方正仿宋_GBK"/>
                <w:sz w:val="24"/>
              </w:rPr>
              <w:t xml:space="preserve">. </w:t>
            </w:r>
            <w:r>
              <w:rPr>
                <w:rFonts w:eastAsia="方正仿宋_GBK" w:hint="eastAsia"/>
                <w:sz w:val="24"/>
              </w:rPr>
              <w:t>所提交的数据足以为预期的近地单元和远地单元用途得出最大残留限量建议。</w:t>
            </w:r>
          </w:p>
          <w:p>
            <w:pPr>
              <w:pStyle w:val="29"/>
              <w:snapToGrid w:val="0"/>
              <w:spacing w:line="400" w:lineRule="exact"/>
              <w:jc w:val="center"/>
              <w:rPr>
                <w:rFonts w:eastAsia="方正仿宋_GBK"/>
                <w:sz w:val="24"/>
              </w:rPr>
            </w:pPr>
            <w:r>
              <w:rPr>
                <w:rFonts w:eastAsia="方正仿宋_GBK" w:hint="eastAsia"/>
                <w:sz w:val="24"/>
              </w:rPr>
              <w:t>2</w:t>
            </w:r>
            <w:r>
              <w:rPr>
                <w:rFonts w:eastAsia="方正仿宋_GBK"/>
                <w:sz w:val="24"/>
              </w:rPr>
              <w:t xml:space="preserve">. </w:t>
            </w:r>
            <w:r>
              <w:rPr>
                <w:rFonts w:eastAsia="方正仿宋_GBK" w:hint="eastAsia"/>
                <w:sz w:val="24"/>
              </w:rPr>
              <w:t>对消费者来说，丙硫菌唑的残留物包括其三唑衍生物代谢物（</w:t>
            </w:r>
            <w:r>
              <w:rPr>
                <w:rFonts w:eastAsia="方正仿宋_GBK"/>
                <w:sz w:val="24"/>
              </w:rPr>
              <w:t>TDMs</w:t>
            </w:r>
            <w:r>
              <w:rPr>
                <w:rFonts w:eastAsia="方正仿宋_GBK" w:hint="eastAsia"/>
                <w:sz w:val="24"/>
              </w:rPr>
              <w:t>）的风险不太可能。</w:t>
            </w:r>
          </w:p>
          <w:p>
            <w:pPr>
              <w:pStyle w:val="29"/>
              <w:snapToGrid w:val="0"/>
              <w:spacing w:line="400" w:lineRule="exact"/>
              <w:jc w:val="center"/>
              <w:rPr>
                <w:rFonts w:eastAsia="方正仿宋_GBK"/>
                <w:sz w:val="24"/>
              </w:rPr>
            </w:pPr>
            <w:r>
              <w:rPr>
                <w:rFonts w:eastAsia="方正仿宋_GBK" w:hint="eastAsia"/>
                <w:sz w:val="24"/>
              </w:rPr>
              <w:t>3</w:t>
            </w:r>
            <w:r>
              <w:rPr>
                <w:rFonts w:eastAsia="方正仿宋_GBK"/>
                <w:sz w:val="24"/>
              </w:rPr>
              <w:t xml:space="preserve">. </w:t>
            </w:r>
            <w:r>
              <w:rPr>
                <w:rFonts w:eastAsia="方正仿宋_GBK" w:hint="eastAsia"/>
                <w:sz w:val="24"/>
              </w:rPr>
              <w:t>成员国应考虑是否需要制定具体的风险缓解措施，以避免在大蒜、洋葱和大葱上使用丙硫菌唑而在轮作作物中产生额外的</w:t>
            </w:r>
            <w:r>
              <w:rPr>
                <w:rFonts w:eastAsia="方正仿宋_GBK"/>
                <w:sz w:val="24"/>
              </w:rPr>
              <w:t>TDM</w:t>
            </w:r>
            <w:r>
              <w:rPr>
                <w:rFonts w:eastAsia="方正仿宋_GBK" w:hint="eastAsia"/>
                <w:sz w:val="24"/>
              </w:rPr>
              <w:t>残留物。</w:t>
            </w:r>
          </w:p>
        </w:tc>
      </w:tr>
      <w:tr>
        <w:trPr>
          <w:trHeight w:val="1701"/>
          <w:tblHead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0220020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hint="eastAsia"/>
                <w:sz w:val="24"/>
              </w:rPr>
              <w:t>洋葱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0.05 （ft）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lang w:eastAsia="ja-JP"/>
              </w:rPr>
            </w:pPr>
            <w:r>
              <w:rPr>
                <w:rFonts w:eastAsia="方正仿宋_GBK"/>
                <w:sz w:val="24"/>
                <w:lang w:eastAsia="ja-JP"/>
              </w:rPr>
              <w:t>0.02</w:t>
            </w:r>
          </w:p>
        </w:tc>
        <w:tc>
          <w:tcPr>
            <w:tcW w:w="3467" w:type="dxa"/>
            <w:vMerge/>
            <w:tcBorders>
              <w:left w:val="single" w:sz="4" w:space="0" w:color="auto"/>
              <w:right w:val="single" w:sz="4" w:space="0" w:color="auto"/>
            </w:tcBorders>
            <w:shd w:val="clear" w:color="auto" w:fill="auto"/>
            <w:vAlign w:val="center"/>
          </w:tcPr>
          <w:p/>
        </w:tc>
      </w:tr>
      <w:tr>
        <w:trPr>
          <w:trHeight w:val="20"/>
          <w:tblHead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0220030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hint="eastAsia"/>
                <w:sz w:val="24"/>
              </w:rPr>
              <w:t>大葱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rPr>
            </w:pPr>
            <w:r>
              <w:rPr>
                <w:rFonts w:eastAsia="方正仿宋_GBK"/>
                <w:sz w:val="24"/>
              </w:rPr>
              <w:t>0.05 （ft）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9"/>
              <w:snapToGrid w:val="0"/>
              <w:spacing w:line="400" w:lineRule="exact"/>
              <w:jc w:val="center"/>
              <w:rPr>
                <w:rFonts w:eastAsia="方正仿宋_GBK"/>
                <w:sz w:val="24"/>
                <w:lang w:eastAsia="ja-JP"/>
              </w:rPr>
            </w:pPr>
            <w:r>
              <w:rPr>
                <w:rFonts w:eastAsia="方正仿宋_GBK"/>
                <w:sz w:val="24"/>
                <w:lang w:eastAsia="ja-JP"/>
              </w:rPr>
              <w:t>0.02</w:t>
            </w:r>
          </w:p>
        </w:tc>
        <w:tc>
          <w:tcPr>
            <w:tcW w:w="3467" w:type="dxa"/>
            <w:vMerge/>
            <w:tcBorders>
              <w:left w:val="single" w:sz="4" w:space="0" w:color="auto"/>
              <w:bottom w:val="single" w:sz="4" w:space="0" w:color="auto"/>
              <w:right w:val="single" w:sz="4" w:space="0" w:color="auto"/>
            </w:tcBorders>
            <w:shd w:val="clear" w:color="auto" w:fill="auto"/>
            <w:vAlign w:val="center"/>
          </w:tcPr>
          <w:p/>
        </w:tc>
      </w:tr>
    </w:tbl>
    <w:p>
      <w:pPr>
        <w:pStyle w:val="29"/>
        <w:snapToGrid w:val="0"/>
        <w:spacing w:line="400" w:lineRule="exact"/>
        <w:ind w:firstLineChars="200" w:firstLine="480"/>
        <w:jc w:val="left"/>
        <w:rPr>
          <w:rFonts w:eastAsia="方正仿宋_GBK"/>
          <w:sz w:val="24"/>
        </w:rPr>
      </w:pPr>
      <w:r>
        <w:rPr>
          <w:rFonts w:eastAsia="方正仿宋_GBK" w:hint="eastAsia"/>
          <w:sz w:val="24"/>
        </w:rPr>
        <w:t>备注：</w:t>
      </w:r>
      <w:r>
        <w:rPr>
          <w:rFonts w:eastAsia="方正仿宋_GBK"/>
          <w:sz w:val="24"/>
        </w:rPr>
        <w:t>*表示表示MRL被设定在分析定量的极限（LOQ）；ft表示：欧洲食品安全局认定，一些符合拟议残留定义的残留试验和储存稳定性数据信息不可用。在重新审查MRL时，如果在2018年1月27日之前提交，委员会将考虑第一句中提到的信息，或者如果在该日期之前未提交该信息，则考虑缺少该信息（条例（EU） No 2019/552）。</w:t>
      </w:r>
    </w:p>
    <w:p>
      <w:pPr>
        <w:pStyle w:val="26"/>
        <w:spacing w:beforeLines="50" w:before="156" w:afterLines="50" w:after="156" w:line="560" w:lineRule="exact"/>
        <w:ind w:left="640"/>
        <w:rPr>
          <w:rFonts w:ascii="方正黑体_GBK" w:eastAsia="方正黑体_GBK" w:cs="宋体"/>
          <w:b w:val="0"/>
          <w:kern w:val="0"/>
          <w:sz w:val="32"/>
          <w:szCs w:val="32"/>
        </w:rPr>
      </w:pPr>
    </w:p>
    <w:p>
      <w:pPr>
        <w:pStyle w:val="26"/>
        <w:spacing w:beforeLines="50" w:before="156" w:afterLines="50" w:after="156" w:line="560" w:lineRule="exact"/>
        <w:ind w:left="640"/>
        <w:rPr>
          <w:rFonts w:ascii="方正黑体_GBK" w:eastAsia="方正黑体_GBK" w:cs="宋体"/>
          <w:b w:val="0"/>
          <w:kern w:val="0"/>
          <w:sz w:val="32"/>
          <w:szCs w:val="32"/>
        </w:rPr>
      </w:pPr>
      <w:r>
        <w:rPr>
          <w:rFonts w:ascii="方正黑体_GBK" w:eastAsia="方正黑体_GBK" w:cs="宋体" w:hint="eastAsia"/>
          <w:b w:val="0"/>
          <w:kern w:val="0"/>
          <w:sz w:val="32"/>
          <w:szCs w:val="32"/>
        </w:rPr>
        <w:t>欧盟批准部分新食品成分及适用范围</w:t>
      </w:r>
      <w:bookmarkEnd w:id="0"/>
    </w:p>
    <w:p>
      <w:pPr>
        <w:pStyle w:val="27"/>
        <w:ind w:firstLineChars="200" w:firstLine="640"/>
        <w:rPr>
          <w:rFonts w:eastAsia="方正仿宋_GBK"/>
          <w:kern w:val="0"/>
          <w:sz w:val="32"/>
          <w:szCs w:val="32"/>
        </w:rPr>
      </w:pPr>
      <w:r>
        <w:rPr>
          <w:rFonts w:eastAsia="方正仿宋_GBK" w:hint="eastAsia"/>
          <w:kern w:val="0"/>
          <w:sz w:val="32"/>
          <w:szCs w:val="32"/>
        </w:rPr>
        <w:t>欧盟官方公报</w:t>
      </w:r>
      <w:r>
        <w:rPr>
          <w:rFonts w:eastAsia="方正仿宋_GBK"/>
          <w:kern w:val="0"/>
          <w:sz w:val="32"/>
          <w:szCs w:val="32"/>
        </w:rPr>
        <w:t>2023</w:t>
      </w:r>
      <w:r>
        <w:rPr>
          <w:rFonts w:eastAsia="方正仿宋_GBK" w:hint="eastAsia"/>
          <w:kern w:val="0"/>
          <w:sz w:val="32"/>
          <w:szCs w:val="32"/>
        </w:rPr>
        <w:t>年1月9日消息，1月6日通过的（EU） 2023/65条例授权使用新食品牛奶分离乳清蛋白、3'-唾液酸乳糖钠盐，自欧盟官方公报公布后第20日生效，并直接适用于所有成员国。主要内容如下：</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55"/>
        <w:gridCol w:w="2392"/>
        <w:gridCol w:w="1710"/>
        <w:gridCol w:w="3444"/>
      </w:tblGrid>
      <w:tr>
        <w:trPr>
          <w:trHeight w:val="20"/>
          <w:tblHeader/>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b/>
                <w:sz w:val="24"/>
              </w:rPr>
            </w:pPr>
            <w:r>
              <w:rPr>
                <w:rFonts w:eastAsia="方正仿宋_GBK" w:hint="eastAsia"/>
                <w:b/>
                <w:sz w:val="24"/>
              </w:rPr>
              <w:t>授权的新型食品</w:t>
            </w:r>
          </w:p>
        </w:tc>
        <w:tc>
          <w:tcPr>
            <w:tcW w:w="4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b/>
                <w:sz w:val="24"/>
              </w:rPr>
            </w:pPr>
            <w:r>
              <w:rPr>
                <w:rFonts w:eastAsia="方正仿宋_GBK" w:hint="eastAsia"/>
                <w:b/>
                <w:sz w:val="24"/>
              </w:rPr>
              <w:t>可使用新型食品的条件</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b/>
                <w:sz w:val="24"/>
              </w:rPr>
            </w:pPr>
            <w:r>
              <w:rPr>
                <w:rFonts w:eastAsia="方正仿宋_GBK" w:hint="eastAsia"/>
                <w:b/>
                <w:sz w:val="24"/>
              </w:rPr>
              <w:t>其他特定标签要求</w:t>
            </w:r>
          </w:p>
        </w:tc>
      </w:tr>
      <w:tr>
        <w:trPr>
          <w:trHeight w:val="20"/>
          <w:tblHeader/>
        </w:trPr>
        <w:tc>
          <w:tcPr>
            <w:tcW w:w="2055"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3'-</w:t>
            </w:r>
            <w:r>
              <w:rPr>
                <w:rFonts w:eastAsia="方正仿宋_GBK" w:hint="eastAsia"/>
                <w:sz w:val="24"/>
              </w:rPr>
              <w:t>唾液酸乳糖钠盐（</w:t>
            </w:r>
            <w:r>
              <w:rPr>
                <w:rFonts w:eastAsia="方正仿宋_GBK"/>
                <w:sz w:val="24"/>
              </w:rPr>
              <w:t>'3'-SL'</w:t>
            </w:r>
            <w:r>
              <w:rPr>
                <w:rFonts w:eastAsia="方正仿宋_GBK" w:hint="eastAsia"/>
                <w:sz w:val="24"/>
              </w:rPr>
              <w:t>）（微生物来源）</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指定食物类别</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最高限量</w:t>
            </w:r>
          </w:p>
        </w:tc>
        <w:tc>
          <w:tcPr>
            <w:tcW w:w="3444"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1</w:t>
            </w:r>
            <w:r>
              <w:rPr>
                <w:rFonts w:eastAsia="方正仿宋_GBK"/>
                <w:sz w:val="24"/>
              </w:rPr>
              <w:t xml:space="preserve">. </w:t>
            </w:r>
            <w:r>
              <w:rPr>
                <w:rFonts w:eastAsia="方正仿宋_GBK" w:hint="eastAsia"/>
                <w:sz w:val="24"/>
              </w:rPr>
              <w:t>新食品在含有该食品的食品标签上的名称应为“</w:t>
            </w:r>
            <w:r>
              <w:rPr>
                <w:rFonts w:eastAsia="方正仿宋_GBK"/>
                <w:sz w:val="24"/>
              </w:rPr>
              <w:t>3</w:t>
            </w:r>
            <w:r>
              <w:rPr>
                <w:rFonts w:eastAsia="方正仿宋_GBK" w:hint="eastAsia"/>
                <w:sz w:val="24"/>
              </w:rPr>
              <w:t>’</w:t>
            </w:r>
            <w:r>
              <w:rPr>
                <w:rFonts w:eastAsia="方正仿宋_GBK"/>
                <w:sz w:val="24"/>
              </w:rPr>
              <w:t>-</w:t>
            </w:r>
            <w:r>
              <w:rPr>
                <w:rFonts w:eastAsia="方正仿宋_GBK" w:hint="eastAsia"/>
                <w:sz w:val="24"/>
              </w:rPr>
              <w:t>唾液酸乳糖钠盐”。</w:t>
            </w:r>
          </w:p>
          <w:p>
            <w:pPr>
              <w:pStyle w:val="27"/>
              <w:snapToGrid w:val="0"/>
              <w:spacing w:line="400" w:lineRule="exact"/>
              <w:jc w:val="center"/>
              <w:rPr>
                <w:rFonts w:eastAsia="方正仿宋_GBK"/>
                <w:sz w:val="24"/>
              </w:rPr>
            </w:pPr>
            <w:r>
              <w:rPr>
                <w:rFonts w:eastAsia="方正仿宋_GBK"/>
                <w:sz w:val="24"/>
              </w:rPr>
              <w:t xml:space="preserve"> 2. </w:t>
            </w:r>
            <w:r>
              <w:rPr>
                <w:rFonts w:eastAsia="方正仿宋_GBK" w:hint="eastAsia"/>
                <w:sz w:val="24"/>
              </w:rPr>
              <w:t>含有</w:t>
            </w:r>
            <w:r>
              <w:rPr>
                <w:rFonts w:eastAsia="方正仿宋_GBK"/>
                <w:sz w:val="24"/>
              </w:rPr>
              <w:t>3</w:t>
            </w:r>
            <w:r>
              <w:rPr>
                <w:rFonts w:eastAsia="方正仿宋_GBK" w:hint="eastAsia"/>
                <w:sz w:val="24"/>
              </w:rPr>
              <w:t>’</w:t>
            </w:r>
            <w:r>
              <w:rPr>
                <w:rFonts w:eastAsia="方正仿宋_GBK"/>
                <w:sz w:val="24"/>
              </w:rPr>
              <w:t>-</w:t>
            </w:r>
            <w:r>
              <w:rPr>
                <w:rFonts w:eastAsia="方正仿宋_GBK" w:hint="eastAsia"/>
                <w:sz w:val="24"/>
              </w:rPr>
              <w:t>唾液酸乳糖钠盐的食品补充剂的标签应注明：（</w:t>
            </w:r>
            <w:r>
              <w:rPr>
                <w:rFonts w:eastAsia="方正仿宋_GBK"/>
                <w:sz w:val="24"/>
              </w:rPr>
              <w:t>a</w:t>
            </w:r>
            <w:r>
              <w:rPr>
                <w:rFonts w:eastAsia="方正仿宋_GBK" w:hint="eastAsia"/>
                <w:sz w:val="24"/>
              </w:rPr>
              <w:t>）如果在同一天食用了其他含有添加的</w:t>
            </w:r>
            <w:r>
              <w:rPr>
                <w:rFonts w:eastAsia="方正仿宋_GBK"/>
                <w:sz w:val="24"/>
              </w:rPr>
              <w:t>3</w:t>
            </w:r>
            <w:r>
              <w:rPr>
                <w:rFonts w:eastAsia="方正仿宋_GBK" w:hint="eastAsia"/>
                <w:sz w:val="24"/>
              </w:rPr>
              <w:t>’</w:t>
            </w:r>
            <w:r>
              <w:rPr>
                <w:rFonts w:eastAsia="方正仿宋_GBK"/>
                <w:sz w:val="24"/>
              </w:rPr>
              <w:t>-</w:t>
            </w:r>
            <w:r>
              <w:rPr>
                <w:rFonts w:eastAsia="方正仿宋_GBK" w:hint="eastAsia"/>
                <w:sz w:val="24"/>
              </w:rPr>
              <w:t>唾液酸乳糖钠盐食品，则不应使用这些补充剂；（</w:t>
            </w:r>
            <w:r>
              <w:rPr>
                <w:rFonts w:eastAsia="方正仿宋_GBK"/>
                <w:sz w:val="24"/>
              </w:rPr>
              <w:t>b</w:t>
            </w:r>
            <w:r>
              <w:rPr>
                <w:rFonts w:eastAsia="方正仿宋_GBK" w:hint="eastAsia"/>
                <w:sz w:val="24"/>
              </w:rPr>
              <w:t>）婴幼儿不得食用。</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风味发酵乳制品，包括热处理产品</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0.25 g/L（饮料）</w:t>
            </w:r>
          </w:p>
        </w:tc>
        <w:tc>
          <w:tcPr>
            <w:tcW w:w="3444" w:type="dxa"/>
            <w:vMerge/>
            <w:tcBorders>
              <w:left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tcBorders>
              <w:left w:val="single" w:sz="4" w:space="0" w:color="auto"/>
              <w:bottom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2.5 g/kg（饮料以外的产品）</w:t>
            </w:r>
          </w:p>
        </w:tc>
        <w:tc>
          <w:tcPr>
            <w:tcW w:w="3444" w:type="dxa"/>
            <w:vMerge/>
            <w:tcBorders>
              <w:left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法规 </w:t>
            </w:r>
            <w:r>
              <w:rPr>
                <w:rFonts w:eastAsia="方正仿宋_GBK"/>
                <w:sz w:val="24"/>
              </w:rPr>
              <w:t>（EU） No 609/2013 </w:t>
            </w:r>
            <w:r>
              <w:rPr>
                <w:rFonts w:eastAsia="方正仿宋_GBK" w:hint="eastAsia"/>
                <w:sz w:val="24"/>
              </w:rPr>
              <w:t>中定义的婴儿配方奶粉</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0.2 g/L </w:t>
            </w:r>
            <w:r>
              <w:rPr>
                <w:rFonts w:eastAsia="方正仿宋_GBK" w:hint="eastAsia"/>
                <w:sz w:val="24"/>
              </w:rPr>
              <w:t>在最终产品中可供使用、按原样销售或按照制造商的指示重新配制</w:t>
            </w:r>
          </w:p>
        </w:tc>
        <w:tc>
          <w:tcPr>
            <w:tcW w:w="3444" w:type="dxa"/>
            <w:vMerge/>
            <w:tcBorders>
              <w:left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根据法规 </w:t>
            </w:r>
            <w:r>
              <w:rPr>
                <w:rFonts w:eastAsia="方正仿宋_GBK"/>
                <w:sz w:val="24"/>
              </w:rPr>
              <w:t>（EU） No 609/2013 </w:t>
            </w:r>
            <w:r>
              <w:rPr>
                <w:rFonts w:eastAsia="方正仿宋_GBK" w:hint="eastAsia"/>
                <w:sz w:val="24"/>
              </w:rPr>
              <w:t>定义的后续配方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0.15 g/L </w:t>
            </w:r>
            <w:r>
              <w:rPr>
                <w:rFonts w:eastAsia="方正仿宋_GBK" w:hint="eastAsia"/>
                <w:sz w:val="24"/>
              </w:rPr>
              <w:t>在最终产品中可供使用、按原样销售或按照制造商的指示重新配制</w:t>
            </w:r>
          </w:p>
        </w:tc>
        <w:tc>
          <w:tcPr>
            <w:tcW w:w="3444" w:type="dxa"/>
            <w:tcBorders>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供幼儿使用的牛奶饮料和类似产品</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0.15 g/L </w:t>
            </w:r>
            <w:r>
              <w:rPr>
                <w:rFonts w:eastAsia="方正仿宋_GBK" w:hint="eastAsia"/>
                <w:sz w:val="24"/>
              </w:rPr>
              <w:t>在最终产品中可供使用、按原样销售或按照制造商的指示重新配制</w:t>
            </w:r>
          </w:p>
        </w:tc>
        <w:tc>
          <w:tcPr>
            <w:tcW w:w="3444" w:type="dxa"/>
            <w:tcBorders>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w:t>
            </w:r>
          </w:p>
        </w:tc>
      </w:tr>
      <w:tr>
        <w:trPr>
          <w:trHeight w:val="20"/>
          <w:tblHeader/>
        </w:trPr>
        <w:tc>
          <w:tcPr>
            <w:tcW w:w="2055" w:type="dxa"/>
            <w:vMerge/>
            <w:tcBorders>
              <w:left w:val="single" w:sz="4" w:space="0" w:color="auto"/>
              <w:bottom w:val="single" w:sz="4" w:space="0" w:color="auto"/>
              <w:right w:val="single" w:sz="4" w:space="0" w:color="auto"/>
            </w:tcBorders>
            <w:shd w:val="clear" w:color="auto" w:fill="auto"/>
            <w:vAlign w:val="center"/>
          </w:tc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指令 </w:t>
            </w:r>
            <w:r>
              <w:rPr>
                <w:rFonts w:eastAsia="方正仿宋_GBK"/>
                <w:sz w:val="24"/>
              </w:rPr>
              <w:t>2002/46/EC </w:t>
            </w:r>
            <w:r>
              <w:rPr>
                <w:rFonts w:eastAsia="方正仿宋_GBK" w:hint="eastAsia"/>
                <w:sz w:val="24"/>
              </w:rPr>
              <w:t>中定义的食品补充剂，适用于一般人群，不包括婴幼儿</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0.5 </w:t>
            </w:r>
            <w:r>
              <w:rPr>
                <w:rFonts w:eastAsia="方正仿宋_GBK" w:hint="eastAsia"/>
                <w:sz w:val="24"/>
              </w:rPr>
              <w:t>克</w:t>
            </w:r>
            <w:r>
              <w:rPr>
                <w:rFonts w:eastAsia="方正仿宋_GBK"/>
                <w:sz w:val="24"/>
              </w:rPr>
              <w:t>/</w:t>
            </w:r>
            <w:r>
              <w:rPr>
                <w:rFonts w:eastAsia="方正仿宋_GBK" w:hint="eastAsia"/>
                <w:sz w:val="24"/>
              </w:rPr>
              <w:t>天</w:t>
            </w:r>
          </w:p>
        </w:tc>
        <w:tc>
          <w:tcPr>
            <w:tcW w:w="3444" w:type="dxa"/>
            <w:tcBorders>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w:t>
            </w:r>
          </w:p>
        </w:tc>
      </w:tr>
      <w:tr>
        <w:trPr>
          <w:trHeight w:val="20"/>
          <w:tblHeader/>
        </w:trPr>
        <w:tc>
          <w:tcPr>
            <w:tcW w:w="2055"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牛 ‍奶 分 离 乳 清 蛋 白 （ bovine milk basic whey protein isolate ）</w:t>
            </w:r>
          </w:p>
        </w:tc>
        <w:tc>
          <w:tcPr>
            <w:tcW w:w="2392"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法规 （EU） No 609/2013 中定义的婴儿配方奶粉</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30 mg/100 g（粉末）</w:t>
            </w:r>
          </w:p>
        </w:tc>
        <w:tc>
          <w:tcPr>
            <w:tcW w:w="3444"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含有该新型食品的食品标签上的名称应为“乳清蛋白分离物”。</w:t>
            </w:r>
          </w:p>
          <w:p>
            <w:pPr>
              <w:pStyle w:val="27"/>
              <w:snapToGrid w:val="0"/>
              <w:spacing w:line="400" w:lineRule="exact"/>
              <w:jc w:val="center"/>
              <w:rPr>
                <w:rFonts w:eastAsia="方正仿宋_GBK"/>
                <w:sz w:val="24"/>
              </w:rPr>
            </w:pPr>
            <w:r>
              <w:rPr>
                <w:rFonts w:eastAsia="方正仿宋_GBK" w:hint="eastAsia"/>
                <w:sz w:val="24"/>
              </w:rPr>
              <w:t>含有牛乳乳清蛋白分离物的食品补充剂应附有以下声明：</w:t>
            </w:r>
          </w:p>
          <w:p>
            <w:pPr>
              <w:pStyle w:val="27"/>
              <w:snapToGrid w:val="0"/>
              <w:spacing w:line="400" w:lineRule="exact"/>
              <w:jc w:val="center"/>
              <w:rPr>
                <w:rFonts w:eastAsia="方正仿宋_GBK"/>
                <w:sz w:val="24"/>
              </w:rPr>
            </w:pPr>
            <w:r>
              <w:rPr>
                <w:rFonts w:eastAsia="方正仿宋_GBK" w:hint="eastAsia"/>
                <w:sz w:val="24"/>
              </w:rPr>
              <w:t>“1/3/18 （*） 岁以下的婴儿/儿童/青少年不应食用此食品补充剂”</w:t>
            </w:r>
          </w:p>
          <w:p>
            <w:pPr>
              <w:pStyle w:val="27"/>
              <w:snapToGrid w:val="0"/>
              <w:spacing w:line="400" w:lineRule="exact"/>
              <w:jc w:val="center"/>
              <w:rPr>
                <w:rFonts w:eastAsia="方正仿宋_GBK"/>
                <w:sz w:val="24"/>
              </w:rPr>
            </w:pPr>
            <w:r>
              <w:rPr>
                <w:rFonts w:eastAsia="方正仿宋_GBK" w:hint="eastAsia"/>
                <w:sz w:val="24"/>
              </w:rPr>
              <w:t>（*） 取决于食品补充剂的年龄组。</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tcBorders>
              <w:left w:val="single" w:sz="4" w:space="0" w:color="auto"/>
              <w:bottom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3.9m</w:t>
            </w:r>
            <w:r>
              <w:rPr>
                <w:rFonts w:eastAsia="方正仿宋_GBK"/>
                <w:sz w:val="24"/>
              </w:rPr>
              <w:t>g</w:t>
            </w:r>
            <w:r>
              <w:rPr>
                <w:rFonts w:eastAsia="方正仿宋_GBK" w:hint="eastAsia"/>
                <w:sz w:val="24"/>
              </w:rPr>
              <w:t>/100m</w:t>
            </w:r>
            <w:r>
              <w:rPr>
                <w:rFonts w:eastAsia="方正仿宋_GBK"/>
                <w:sz w:val="24"/>
              </w:rPr>
              <w:t>l</w:t>
            </w:r>
            <w:r>
              <w:rPr>
                <w:rFonts w:eastAsia="方正仿宋_GBK" w:hint="eastAsia"/>
                <w:sz w:val="24"/>
              </w:rPr>
              <w:t>（再制）</w:t>
            </w:r>
          </w:p>
        </w:tc>
        <w:tc>
          <w:tcPr>
            <w:tcW w:w="3444" w:type="dxa"/>
            <w:vMerge/>
            <w:tcBorders>
              <w:left w:val="single" w:sz="4" w:space="0" w:color="auto"/>
              <w:bottom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根据法规 （EU） No 609/2013 定义的后续配方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30 m</w:t>
            </w:r>
            <w:r>
              <w:rPr>
                <w:rFonts w:eastAsia="方正仿宋_GBK"/>
                <w:sz w:val="24"/>
              </w:rPr>
              <w:t>g</w:t>
            </w:r>
            <w:r>
              <w:rPr>
                <w:rFonts w:eastAsia="方正仿宋_GBK" w:hint="eastAsia"/>
                <w:sz w:val="24"/>
              </w:rPr>
              <w:t>/100g（粉末）</w:t>
            </w:r>
          </w:p>
        </w:tc>
        <w:tc>
          <w:tcPr>
            <w:tcW w:w="3444"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 /</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tcBorders>
              <w:left w:val="single" w:sz="4" w:space="0" w:color="auto"/>
              <w:bottom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4</w:t>
            </w:r>
            <w:r>
              <w:rPr>
                <w:rFonts w:eastAsia="方正仿宋_GBK"/>
                <w:sz w:val="24"/>
              </w:rPr>
              <w:t>.2</w:t>
            </w:r>
            <w:r>
              <w:rPr>
                <w:rFonts w:eastAsia="方正仿宋_GBK" w:hint="eastAsia"/>
                <w:sz w:val="24"/>
              </w:rPr>
              <w:t>m</w:t>
            </w:r>
            <w:r>
              <w:rPr>
                <w:rFonts w:eastAsia="方正仿宋_GBK"/>
                <w:sz w:val="24"/>
              </w:rPr>
              <w:t>g</w:t>
            </w:r>
            <w:r>
              <w:rPr>
                <w:rFonts w:eastAsia="方正仿宋_GBK" w:hint="eastAsia"/>
                <w:sz w:val="24"/>
              </w:rPr>
              <w:t>/100m</w:t>
            </w:r>
            <w:r>
              <w:rPr>
                <w:rFonts w:eastAsia="方正仿宋_GBK"/>
                <w:sz w:val="24"/>
              </w:rPr>
              <w:t>l</w:t>
            </w:r>
            <w:r>
              <w:rPr>
                <w:rFonts w:eastAsia="方正仿宋_GBK" w:hint="eastAsia"/>
                <w:sz w:val="24"/>
              </w:rPr>
              <w:t>（再制）</w:t>
            </w:r>
          </w:p>
        </w:tc>
        <w:tc>
          <w:tcPr>
            <w:tcW w:w="3444" w:type="dxa"/>
            <w:vMerge/>
            <w:tcBorders>
              <w:left w:val="single" w:sz="4" w:space="0" w:color="auto"/>
              <w:bottom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指令 2002/46/EC 中定义的食品补充剂</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婴儿 25m</w:t>
            </w:r>
            <w:r>
              <w:rPr>
                <w:rFonts w:eastAsia="方正仿宋_GBK"/>
                <w:sz w:val="24"/>
              </w:rPr>
              <w:t>g</w:t>
            </w:r>
            <w:r>
              <w:rPr>
                <w:rFonts w:eastAsia="方正仿宋_GBK" w:hint="eastAsia"/>
                <w:sz w:val="24"/>
              </w:rPr>
              <w:t>/天</w:t>
            </w:r>
          </w:p>
        </w:tc>
        <w:tc>
          <w:tcPr>
            <w:tcW w:w="3444" w:type="dxa"/>
            <w:vMerge w:val="restart"/>
            <w:tcBorders>
              <w:top w:val="single" w:sz="4" w:space="0" w:color="auto"/>
              <w:left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sz w:val="24"/>
              </w:rPr>
              <w:t>/</w:t>
            </w: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tcBorders>
              <w:left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幼儿 58 m</w:t>
            </w:r>
            <w:r>
              <w:rPr>
                <w:rFonts w:eastAsia="方正仿宋_GBK"/>
                <w:sz w:val="24"/>
              </w:rPr>
              <w:t>g</w:t>
            </w:r>
            <w:r>
              <w:rPr>
                <w:rFonts w:eastAsia="方正仿宋_GBK" w:hint="eastAsia"/>
                <w:sz w:val="24"/>
              </w:rPr>
              <w:t>/天</w:t>
            </w:r>
          </w:p>
        </w:tc>
        <w:tc>
          <w:tcPr>
            <w:tcW w:w="3444" w:type="dxa"/>
            <w:vMerge/>
            <w:tcBorders>
              <w:left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right w:val="single" w:sz="4" w:space="0" w:color="auto"/>
            </w:tcBorders>
            <w:shd w:val="clear" w:color="auto" w:fill="auto"/>
            <w:vAlign w:val="center"/>
          </w:tcPr>
          <w:p/>
        </w:tc>
        <w:tc>
          <w:tcPr>
            <w:tcW w:w="2392" w:type="dxa"/>
            <w:vMerge/>
            <w:tcBorders>
              <w:left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3 至 18 岁的儿童和青少年 250 m</w:t>
            </w:r>
            <w:r>
              <w:rPr>
                <w:rFonts w:eastAsia="方正仿宋_GBK"/>
                <w:sz w:val="24"/>
              </w:rPr>
              <w:t>g</w:t>
            </w:r>
            <w:r>
              <w:rPr>
                <w:rFonts w:eastAsia="方正仿宋_GBK" w:hint="eastAsia"/>
                <w:sz w:val="24"/>
              </w:rPr>
              <w:t>/天</w:t>
            </w:r>
          </w:p>
        </w:tc>
        <w:tc>
          <w:tcPr>
            <w:tcW w:w="3444" w:type="dxa"/>
            <w:vMerge/>
            <w:tcBorders>
              <w:left w:val="single" w:sz="4" w:space="0" w:color="auto"/>
              <w:right w:val="single" w:sz="4" w:space="0" w:color="auto"/>
            </w:tcBorders>
            <w:shd w:val="clear" w:color="auto" w:fill="auto"/>
            <w:vAlign w:val="center"/>
          </w:tcPr>
          <w:p/>
        </w:tc>
      </w:tr>
      <w:tr>
        <w:trPr>
          <w:trHeight w:val="20"/>
          <w:tblHeader/>
        </w:trPr>
        <w:tc>
          <w:tcPr>
            <w:tcW w:w="2055" w:type="dxa"/>
            <w:vMerge/>
            <w:tcBorders>
              <w:left w:val="single" w:sz="4" w:space="0" w:color="auto"/>
              <w:bottom w:val="single" w:sz="4" w:space="0" w:color="auto"/>
              <w:right w:val="single" w:sz="4" w:space="0" w:color="auto"/>
            </w:tcBorders>
            <w:shd w:val="clear" w:color="auto" w:fill="auto"/>
            <w:vAlign w:val="center"/>
          </w:tcPr>
          <w:p/>
        </w:tc>
        <w:tc>
          <w:tcPr>
            <w:tcW w:w="2392" w:type="dxa"/>
            <w:vMerge/>
            <w:tcBorders>
              <w:left w:val="single" w:sz="4" w:space="0" w:color="auto"/>
              <w:bottom w:val="single" w:sz="4" w:space="0" w:color="auto"/>
              <w:right w:val="single" w:sz="4" w:space="0" w:color="auto"/>
            </w:tcBorders>
            <w:shd w:val="clear" w:color="auto" w:fill="auto"/>
            <w:vAlign w:val="center"/>
          </w:tc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7"/>
              <w:snapToGrid w:val="0"/>
              <w:spacing w:line="400" w:lineRule="exact"/>
              <w:jc w:val="center"/>
              <w:rPr>
                <w:rFonts w:eastAsia="方正仿宋_GBK"/>
                <w:sz w:val="24"/>
              </w:rPr>
            </w:pPr>
            <w:r>
              <w:rPr>
                <w:rFonts w:eastAsia="方正仿宋_GBK" w:hint="eastAsia"/>
                <w:sz w:val="24"/>
              </w:rPr>
              <w:t>成人 610 m</w:t>
            </w:r>
            <w:r>
              <w:rPr>
                <w:rFonts w:eastAsia="方正仿宋_GBK"/>
                <w:sz w:val="24"/>
              </w:rPr>
              <w:t>g</w:t>
            </w:r>
            <w:r>
              <w:rPr>
                <w:rFonts w:eastAsia="方正仿宋_GBK" w:hint="eastAsia"/>
                <w:sz w:val="24"/>
              </w:rPr>
              <w:t>/天</w:t>
            </w:r>
          </w:p>
        </w:tc>
        <w:tc>
          <w:tcPr>
            <w:tcW w:w="3444" w:type="dxa"/>
            <w:vMerge/>
            <w:tcBorders>
              <w:left w:val="single" w:sz="4" w:space="0" w:color="auto"/>
              <w:bottom w:val="single" w:sz="4" w:space="0" w:color="auto"/>
              <w:right w:val="single" w:sz="4" w:space="0" w:color="auto"/>
            </w:tcBorders>
            <w:shd w:val="clear" w:color="auto" w:fill="auto"/>
            <w:vAlign w:val="center"/>
          </w:tcPr>
          <w:p/>
        </w:tc>
      </w:tr>
    </w:tbl>
    <w:p>
      <w:pPr>
        <w:jc w:val="center"/>
        <w:rPr>
          <w:rFonts w:ascii="方正小标宋_GBK" w:eastAsia="方正小标宋_GBK" w:cs="方正小标宋_GBK"/>
          <w:sz w:val="44"/>
          <w:szCs w:val="44"/>
        </w:rPr>
      </w:pPr>
    </w:p>
    <w:p>
      <w:pPr>
        <w:pStyle w:val="22"/>
        <w:spacing w:beforeLines="50" w:before="156" w:afterLines="50" w:after="156" w:line="560" w:lineRule="exact"/>
        <w:ind w:left="640"/>
        <w:rPr>
          <w:rFonts w:ascii="方正黑体_GBK" w:eastAsia="方正黑体_GBK" w:cs="宋体"/>
          <w:b w:val="0"/>
          <w:kern w:val="0"/>
          <w:sz w:val="32"/>
          <w:szCs w:val="32"/>
        </w:rPr>
      </w:pPr>
      <w:bookmarkStart w:id="21" w:name="_Toc124163730"/>
      <w:r>
        <w:rPr>
          <w:rFonts w:ascii="方正黑体_GBK" w:eastAsia="方正黑体_GBK" w:cs="宋体" w:hint="eastAsia"/>
          <w:b w:val="0"/>
          <w:kern w:val="0"/>
          <w:sz w:val="32"/>
          <w:szCs w:val="32"/>
        </w:rPr>
        <w:t>欧盟批准暗黑菌虫幼虫作为新型食品投放市场</w:t>
      </w:r>
      <w:bookmarkEnd w:id="21"/>
    </w:p>
    <w:p>
      <w:pPr>
        <w:pStyle w:val="23"/>
        <w:ind w:firstLineChars="200" w:firstLine="640"/>
        <w:rPr>
          <w:rFonts w:eastAsia="方正仿宋_GBK"/>
          <w:kern w:val="0"/>
          <w:sz w:val="32"/>
          <w:szCs w:val="32"/>
        </w:rPr>
      </w:pPr>
      <w:r>
        <w:rPr>
          <w:rFonts w:eastAsia="方正仿宋_GBK" w:hint="eastAsia"/>
          <w:kern w:val="0"/>
          <w:sz w:val="32"/>
          <w:szCs w:val="32"/>
        </w:rPr>
        <w:t>欧盟官方公报2023年1月6日消息，1月5日，欧盟委员会发布实施条例（EU）2023/58，授权将冷冻、糊状、干燥和粉状的暗黑菌虫幼虫（小黄粉虫）Alphitobius</w:t>
      </w:r>
      <w:r>
        <w:rPr>
          <w:rFonts w:eastAsia="方正仿宋_GBK"/>
          <w:kern w:val="0"/>
          <w:sz w:val="32"/>
          <w:szCs w:val="32"/>
        </w:rPr>
        <w:t xml:space="preserve"> </w:t>
      </w:r>
      <w:r>
        <w:rPr>
          <w:rFonts w:eastAsia="方正仿宋_GBK" w:hint="eastAsia"/>
          <w:kern w:val="0"/>
          <w:sz w:val="32"/>
          <w:szCs w:val="32"/>
        </w:rPr>
        <w:t>diaperinus作为新型食品投放市场，并修订实施条例（EU）2017/2470。实施条例（EU）2023/58主要内容为：（1）冷冻、糊状、干燥和粉末形式的暗黑菌虫幼虫（小粉虫）获准在欧盟市场上出售。冻、糊、干和粉末形式的双足Alphitobius</w:t>
      </w:r>
      <w:r>
        <w:rPr>
          <w:rFonts w:eastAsia="方正仿宋_GBK"/>
          <w:kern w:val="0"/>
          <w:sz w:val="32"/>
          <w:szCs w:val="32"/>
        </w:rPr>
        <w:t xml:space="preserve"> </w:t>
      </w:r>
      <w:r>
        <w:rPr>
          <w:rFonts w:eastAsia="方正仿宋_GBK" w:hint="eastAsia"/>
          <w:kern w:val="0"/>
          <w:sz w:val="32"/>
          <w:szCs w:val="32"/>
        </w:rPr>
        <w:t>diaperinus幼虫应列入实施条例（EU）2017/2470中规定的欧盟新食品清单；（2）根据本条例附件修订了实施条例（EU）2017/2470的附件；（3）只有Ynsect</w:t>
      </w:r>
      <w:r>
        <w:rPr>
          <w:rFonts w:eastAsia="方正仿宋_GBK"/>
          <w:kern w:val="0"/>
          <w:sz w:val="32"/>
          <w:szCs w:val="32"/>
        </w:rPr>
        <w:t xml:space="preserve"> </w:t>
      </w:r>
      <w:r>
        <w:rPr>
          <w:rFonts w:eastAsia="方正仿宋_GBK" w:hint="eastAsia"/>
          <w:kern w:val="0"/>
          <w:sz w:val="32"/>
          <w:szCs w:val="32"/>
        </w:rPr>
        <w:t>NL</w:t>
      </w:r>
      <w:r>
        <w:rPr>
          <w:rFonts w:eastAsia="方正仿宋_GBK"/>
          <w:kern w:val="0"/>
          <w:sz w:val="32"/>
          <w:szCs w:val="32"/>
        </w:rPr>
        <w:t xml:space="preserve"> </w:t>
      </w:r>
      <w:r>
        <w:rPr>
          <w:rFonts w:eastAsia="方正仿宋_GBK" w:hint="eastAsia"/>
          <w:kern w:val="0"/>
          <w:sz w:val="32"/>
          <w:szCs w:val="32"/>
        </w:rPr>
        <w:t>B.V.公司有权在本条例生效之日起5年内将第1条所述的新型食品投放欧盟市场，除非后续申请人在未参考第3条所保护的科学数据或获得Ynsect</w:t>
      </w:r>
      <w:r>
        <w:rPr>
          <w:rFonts w:eastAsia="方正仿宋_GBK"/>
          <w:kern w:val="0"/>
          <w:sz w:val="32"/>
          <w:szCs w:val="32"/>
        </w:rPr>
        <w:t xml:space="preserve"> </w:t>
      </w:r>
      <w:r>
        <w:rPr>
          <w:rFonts w:eastAsia="方正仿宋_GBK" w:hint="eastAsia"/>
          <w:kern w:val="0"/>
          <w:sz w:val="32"/>
          <w:szCs w:val="32"/>
        </w:rPr>
        <w:t>NL</w:t>
      </w:r>
      <w:r>
        <w:rPr>
          <w:rFonts w:eastAsia="方正仿宋_GBK"/>
          <w:kern w:val="0"/>
          <w:sz w:val="32"/>
          <w:szCs w:val="32"/>
        </w:rPr>
        <w:t xml:space="preserve"> </w:t>
      </w:r>
      <w:r>
        <w:rPr>
          <w:rFonts w:eastAsia="方正仿宋_GBK" w:hint="eastAsia"/>
          <w:kern w:val="0"/>
          <w:sz w:val="32"/>
          <w:szCs w:val="32"/>
        </w:rPr>
        <w:t>B.V.同意的情况下获得该新型食品的授权；（4）未经Ynsect</w:t>
      </w:r>
      <w:r>
        <w:rPr>
          <w:rFonts w:eastAsia="方正仿宋_GBK"/>
          <w:kern w:val="0"/>
          <w:sz w:val="32"/>
          <w:szCs w:val="32"/>
        </w:rPr>
        <w:t xml:space="preserve"> </w:t>
      </w:r>
      <w:r>
        <w:rPr>
          <w:rFonts w:eastAsia="方正仿宋_GBK" w:hint="eastAsia"/>
          <w:kern w:val="0"/>
          <w:sz w:val="32"/>
          <w:szCs w:val="32"/>
        </w:rPr>
        <w:t>NL</w:t>
      </w:r>
      <w:r>
        <w:rPr>
          <w:rFonts w:eastAsia="方正仿宋_GBK"/>
          <w:kern w:val="0"/>
          <w:sz w:val="32"/>
          <w:szCs w:val="32"/>
        </w:rPr>
        <w:t xml:space="preserve"> </w:t>
      </w:r>
      <w:r>
        <w:rPr>
          <w:rFonts w:eastAsia="方正仿宋_GBK" w:hint="eastAsia"/>
          <w:kern w:val="0"/>
          <w:sz w:val="32"/>
          <w:szCs w:val="32"/>
        </w:rPr>
        <w:t>B.V.同意，自本条例生效之日起5年内，不得将申请文件中包含的符合条例（EU）No. 2015/2283第26条规定条件的科学数据用于后续申请人的利益；（5）该条例应在其在《欧盟官方公报》上发表后的第二十日生效。该条例应具有全部约束力，并直接适用于所有成员国。具体使用限量和食用条件如下表：</w:t>
      </w:r>
    </w:p>
    <w:tbl>
      <w:tblPr>
        <w:jc w:val="cente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8"/>
        <w:gridCol w:w="1898"/>
        <w:gridCol w:w="1929"/>
        <w:gridCol w:w="1682"/>
        <w:gridCol w:w="1829"/>
      </w:tblGrid>
      <w:tr>
        <w:trPr>
          <w:trHeight w:val="20"/>
          <w:tblHeader/>
        </w:trPr>
        <w:tc>
          <w:tcPr>
            <w:tcW w:w="1218" w:type="dxa"/>
            <w:tcBorders>
              <w:top w:val="single" w:sz="4" w:space="0" w:color="auto"/>
              <w:left w:val="single" w:sz="4" w:space="0" w:color="auto"/>
              <w:bottom w:val="single" w:sz="4" w:space="0" w:color="auto"/>
              <w:right w:val="single" w:sz="4" w:space="0" w:color="auto"/>
            </w:tcBorders>
            <w:shd w:val="clear" w:color="auto" w:fill="auto"/>
          </w:tcPr>
          <w:p>
            <w:pPr>
              <w:pStyle w:val="23"/>
              <w:snapToGrid w:val="0"/>
              <w:spacing w:line="400" w:lineRule="exact"/>
              <w:jc w:val="center"/>
              <w:rPr>
                <w:rFonts w:eastAsia="方正仿宋_GBK"/>
                <w:b/>
                <w:sz w:val="24"/>
              </w:rPr>
            </w:pPr>
            <w:r>
              <w:rPr>
                <w:rFonts w:eastAsia="方正仿宋_GBK" w:hint="eastAsia"/>
                <w:b/>
                <w:sz w:val="24"/>
              </w:rPr>
              <w:t>授权新型食品</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pPr>
              <w:pStyle w:val="23"/>
              <w:snapToGrid w:val="0"/>
              <w:spacing w:line="400" w:lineRule="exact"/>
              <w:jc w:val="center"/>
              <w:rPr>
                <w:rFonts w:eastAsia="方正仿宋_GBK"/>
                <w:b/>
                <w:sz w:val="24"/>
              </w:rPr>
            </w:pPr>
            <w:r>
              <w:rPr>
                <w:rFonts w:eastAsia="方正仿宋_GBK" w:hint="eastAsia"/>
                <w:b/>
                <w:sz w:val="24"/>
              </w:rPr>
              <w:t>新型食品的使用条件</w:t>
            </w:r>
          </w:p>
        </w:tc>
        <w:tc>
          <w:tcPr>
            <w:tcW w:w="1682" w:type="dxa"/>
            <w:tcBorders>
              <w:top w:val="single" w:sz="4" w:space="0" w:color="auto"/>
              <w:left w:val="single" w:sz="4" w:space="0" w:color="auto"/>
              <w:bottom w:val="single" w:sz="4" w:space="0" w:color="auto"/>
              <w:right w:val="single" w:sz="4" w:space="0" w:color="auto"/>
            </w:tcBorders>
            <w:shd w:val="clear" w:color="auto" w:fill="auto"/>
          </w:tcPr>
          <w:p>
            <w:pPr>
              <w:pStyle w:val="23"/>
              <w:snapToGrid w:val="0"/>
              <w:spacing w:line="400" w:lineRule="exact"/>
              <w:jc w:val="center"/>
              <w:rPr>
                <w:rFonts w:eastAsia="方正仿宋_GBK"/>
                <w:b/>
                <w:sz w:val="24"/>
              </w:rPr>
            </w:pPr>
            <w:r>
              <w:rPr>
                <w:rFonts w:eastAsia="方正仿宋_GBK" w:hint="eastAsia"/>
                <w:b/>
                <w:sz w:val="24"/>
              </w:rPr>
              <w:t>其他特定标签要求</w:t>
            </w:r>
          </w:p>
        </w:tc>
        <w:tc>
          <w:tcPr>
            <w:tcW w:w="1829" w:type="dxa"/>
            <w:tcBorders>
              <w:top w:val="single" w:sz="4" w:space="0" w:color="auto"/>
              <w:left w:val="single" w:sz="4" w:space="0" w:color="auto"/>
              <w:bottom w:val="single" w:sz="4" w:space="0" w:color="auto"/>
              <w:right w:val="single" w:sz="4" w:space="0" w:color="auto"/>
            </w:tcBorders>
            <w:shd w:val="clear" w:color="auto" w:fill="auto"/>
          </w:tcPr>
          <w:p>
            <w:pPr>
              <w:pStyle w:val="23"/>
              <w:snapToGrid w:val="0"/>
              <w:spacing w:line="400" w:lineRule="exact"/>
              <w:jc w:val="center"/>
              <w:rPr>
                <w:rFonts w:eastAsia="方正仿宋_GBK"/>
                <w:b/>
                <w:sz w:val="24"/>
              </w:rPr>
            </w:pPr>
            <w:r>
              <w:rPr>
                <w:rFonts w:eastAsia="方正仿宋_GBK" w:hint="eastAsia"/>
                <w:b/>
                <w:sz w:val="24"/>
              </w:rPr>
              <w:t>数据保护</w:t>
            </w:r>
          </w:p>
        </w:tc>
      </w:tr>
      <w:tr>
        <w:trPr>
          <w:trHeight w:val="20"/>
          <w:tblHeader/>
        </w:trPr>
        <w:tc>
          <w:tcPr>
            <w:tcW w:w="1218" w:type="dxa"/>
            <w:vMerge w:val="restart"/>
            <w:tcBorders>
              <w:top w:val="single" w:sz="4" w:space="0" w:color="auto"/>
              <w:left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冷冻、糊状、干燥和粉末形式的暗黑菌虫幼虫（小粉虫）</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指定食品类别</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最高限量</w:t>
            </w:r>
            <w:r>
              <w:rPr>
                <w:rFonts w:eastAsia="方正仿宋_GBK"/>
                <w:sz w:val="24"/>
              </w:rPr>
              <w:t>（g/100g）</w:t>
            </w:r>
          </w:p>
        </w:tc>
        <w:tc>
          <w:tcPr>
            <w:tcW w:w="1682" w:type="dxa"/>
            <w:vMerge w:val="restart"/>
            <w:tcBorders>
              <w:top w:val="single" w:sz="4" w:space="0" w:color="auto"/>
              <w:left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w:t>
            </w:r>
            <w:r>
              <w:rPr>
                <w:rFonts w:eastAsia="方正仿宋_GBK" w:hint="eastAsia"/>
                <w:sz w:val="24"/>
              </w:rPr>
              <w:t>根据所用的形式，新食品在其食品标签上的名称应为“冷冻</w:t>
            </w:r>
            <w:r>
              <w:rPr>
                <w:rFonts w:eastAsia="方正仿宋_GBK"/>
                <w:sz w:val="24"/>
              </w:rPr>
              <w:t>/</w:t>
            </w:r>
            <w:r>
              <w:rPr>
                <w:rFonts w:eastAsia="方正仿宋_GBK" w:hint="eastAsia"/>
                <w:sz w:val="24"/>
              </w:rPr>
              <w:t>糊状暗黑菌虫幼虫（小粉虫）”或“干燥</w:t>
            </w:r>
            <w:r>
              <w:rPr>
                <w:rFonts w:eastAsia="方正仿宋_GBK"/>
                <w:sz w:val="24"/>
              </w:rPr>
              <w:t>/</w:t>
            </w:r>
            <w:r>
              <w:rPr>
                <w:rFonts w:eastAsia="方正仿宋_GBK" w:hint="eastAsia"/>
                <w:sz w:val="24"/>
              </w:rPr>
              <w:t>粉状暗黑菌虫幼虫（小粉虫）”。</w:t>
            </w:r>
          </w:p>
          <w:p>
            <w:pPr>
              <w:pStyle w:val="23"/>
              <w:snapToGrid w:val="0"/>
              <w:spacing w:line="400" w:lineRule="exact"/>
              <w:jc w:val="center"/>
              <w:rPr>
                <w:rFonts w:eastAsia="方正仿宋_GBK"/>
                <w:sz w:val="24"/>
              </w:rPr>
            </w:pPr>
            <w:r>
              <w:rPr>
                <w:rFonts w:eastAsia="方正仿宋_GBK"/>
                <w:sz w:val="24"/>
              </w:rPr>
              <w:t>2.</w:t>
            </w:r>
            <w:r>
              <w:rPr>
                <w:rFonts w:eastAsia="方正仿宋_GBK" w:hint="eastAsia"/>
                <w:sz w:val="24"/>
              </w:rPr>
              <w:t>含有新食品的食品补充剂的标签应注明</w:t>
            </w:r>
            <w:r>
              <w:rPr>
                <w:rFonts w:eastAsia="方正仿宋_GBK"/>
                <w:sz w:val="24"/>
              </w:rPr>
              <w:t>18</w:t>
            </w:r>
            <w:r>
              <w:rPr>
                <w:rFonts w:eastAsia="方正仿宋_GBK" w:hint="eastAsia"/>
                <w:sz w:val="24"/>
              </w:rPr>
              <w:t>岁以下的人不得食用这些食品补充剂。</w:t>
            </w:r>
          </w:p>
          <w:p>
            <w:pPr>
              <w:pStyle w:val="23"/>
              <w:snapToGrid w:val="0"/>
              <w:spacing w:line="400" w:lineRule="exact"/>
              <w:jc w:val="center"/>
              <w:rPr>
                <w:rFonts w:eastAsia="方正仿宋_GBK"/>
                <w:sz w:val="24"/>
              </w:rPr>
            </w:pPr>
            <w:r>
              <w:rPr>
                <w:rFonts w:eastAsia="方正仿宋_GBK"/>
                <w:sz w:val="24"/>
              </w:rPr>
              <w:t>3.</w:t>
            </w:r>
            <w:r>
              <w:rPr>
                <w:rFonts w:eastAsia="方正仿宋_GBK" w:hint="eastAsia"/>
                <w:sz w:val="24"/>
              </w:rPr>
              <w:t>含有冷冻、糊状、干燥或粉末形式的暗黑菌虫幼虫（小粉虫）的食品标签上应注明该成分可能会对已知对甲壳类及其制品和尘螨过敏的消费者产生过敏反应。</w:t>
            </w:r>
          </w:p>
          <w:p>
            <w:pPr>
              <w:pStyle w:val="23"/>
              <w:snapToGrid w:val="0"/>
              <w:spacing w:line="400" w:lineRule="exact"/>
              <w:jc w:val="center"/>
              <w:rPr>
                <w:rFonts w:eastAsia="方正仿宋_GBK"/>
                <w:sz w:val="24"/>
              </w:rPr>
            </w:pPr>
            <w:r>
              <w:rPr>
                <w:rFonts w:eastAsia="方正仿宋_GBK"/>
                <w:sz w:val="24"/>
              </w:rPr>
              <w:t> </w:t>
            </w:r>
          </w:p>
          <w:p>
            <w:pPr>
              <w:pStyle w:val="23"/>
              <w:snapToGrid w:val="0"/>
              <w:spacing w:line="400" w:lineRule="exact"/>
              <w:jc w:val="center"/>
              <w:rPr>
                <w:rFonts w:eastAsia="方正仿宋_GBK"/>
                <w:sz w:val="24"/>
              </w:rPr>
            </w:pPr>
            <w:r>
              <w:rPr>
                <w:rFonts w:eastAsia="方正仿宋_GBK" w:hint="eastAsia"/>
                <w:sz w:val="24"/>
              </w:rPr>
              <w:t>该声明应出现在成分列表附近。</w:t>
            </w:r>
          </w:p>
        </w:tc>
        <w:tc>
          <w:tcPr>
            <w:tcW w:w="1829" w:type="dxa"/>
            <w:vMerge w:val="restart"/>
            <w:tcBorders>
              <w:top w:val="single" w:sz="4" w:space="0" w:color="auto"/>
              <w:left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授权日期：</w:t>
            </w:r>
            <w:r>
              <w:rPr>
                <w:rFonts w:eastAsia="方正仿宋_GBK"/>
                <w:sz w:val="24"/>
              </w:rPr>
              <w:t>2013</w:t>
            </w:r>
            <w:r>
              <w:rPr>
                <w:rFonts w:eastAsia="方正仿宋_GBK" w:hint="eastAsia"/>
                <w:sz w:val="24"/>
              </w:rPr>
              <w:t>年</w:t>
            </w:r>
            <w:r>
              <w:rPr>
                <w:rFonts w:eastAsia="方正仿宋_GBK"/>
                <w:sz w:val="24"/>
              </w:rPr>
              <w:t>6</w:t>
            </w:r>
            <w:r>
              <w:rPr>
                <w:rFonts w:eastAsia="方正仿宋_GBK" w:hint="eastAsia"/>
                <w:sz w:val="24"/>
              </w:rPr>
              <w:t>月</w:t>
            </w:r>
            <w:r>
              <w:rPr>
                <w:rFonts w:eastAsia="方正仿宋_GBK"/>
                <w:sz w:val="24"/>
              </w:rPr>
              <w:t>26</w:t>
            </w:r>
            <w:r>
              <w:rPr>
                <w:rFonts w:eastAsia="方正仿宋_GBK" w:hint="eastAsia"/>
                <w:sz w:val="24"/>
              </w:rPr>
              <w:t>日。该纳入基于根据条例（EU）No. 2015/2283第26条保护的专有科学数据。</w:t>
            </w:r>
          </w:p>
          <w:p>
            <w:pPr>
              <w:pStyle w:val="23"/>
              <w:snapToGrid w:val="0"/>
              <w:spacing w:line="400" w:lineRule="exact"/>
              <w:jc w:val="center"/>
              <w:rPr>
                <w:rFonts w:eastAsia="方正仿宋_GBK"/>
                <w:sz w:val="24"/>
              </w:rPr>
            </w:pPr>
            <w:r>
              <w:rPr>
                <w:rFonts w:eastAsia="方正仿宋_GBK" w:hint="eastAsia"/>
                <w:sz w:val="24"/>
              </w:rPr>
              <w:t>申请人：</w:t>
            </w:r>
            <w:r>
              <w:rPr>
                <w:rFonts w:eastAsia="方正仿宋_GBK"/>
                <w:sz w:val="24"/>
              </w:rPr>
              <w:t>Ynsect NL B.V</w:t>
            </w:r>
            <w:r>
              <w:rPr>
                <w:rFonts w:eastAsia="方正仿宋_GBK" w:hint="eastAsia"/>
                <w:sz w:val="24"/>
              </w:rPr>
              <w:t>，</w:t>
            </w:r>
            <w:r>
              <w:rPr>
                <w:rFonts w:eastAsia="方正仿宋_GBK"/>
                <w:sz w:val="24"/>
              </w:rPr>
              <w:t>Harderwijkerweg 141B</w:t>
            </w:r>
            <w:r>
              <w:rPr>
                <w:rFonts w:eastAsia="方正仿宋_GBK" w:hint="eastAsia"/>
                <w:sz w:val="24"/>
              </w:rPr>
              <w:t>，</w:t>
            </w:r>
            <w:r>
              <w:rPr>
                <w:rFonts w:eastAsia="方正仿宋_GBK"/>
                <w:sz w:val="24"/>
              </w:rPr>
              <w:t>3852 AB Ermelo</w:t>
            </w:r>
            <w:r>
              <w:rPr>
                <w:rFonts w:eastAsia="方正仿宋_GBK" w:hint="eastAsia"/>
                <w:sz w:val="24"/>
              </w:rPr>
              <w:t>，荷兰。</w:t>
            </w:r>
          </w:p>
          <w:p>
            <w:pPr>
              <w:pStyle w:val="23"/>
              <w:snapToGrid w:val="0"/>
              <w:spacing w:line="400" w:lineRule="exact"/>
              <w:jc w:val="center"/>
              <w:rPr>
                <w:rFonts w:eastAsia="方正仿宋_GBK"/>
                <w:sz w:val="24"/>
              </w:rPr>
            </w:pPr>
            <w:r>
              <w:rPr>
                <w:rFonts w:eastAsia="方正仿宋_GBK" w:hint="eastAsia"/>
                <w:sz w:val="24"/>
              </w:rPr>
              <w:t>在数据保护期间，只有</w:t>
            </w:r>
            <w:r>
              <w:rPr>
                <w:rFonts w:eastAsia="方正仿宋_GBK"/>
                <w:sz w:val="24"/>
              </w:rPr>
              <w:t>Ynsect NL B.V.</w:t>
            </w:r>
            <w:r>
              <w:rPr>
                <w:rFonts w:eastAsia="方正仿宋_GBK" w:hint="eastAsia"/>
                <w:sz w:val="24"/>
              </w:rPr>
              <w:t>才允许新食品在欧盟境内上市，除非后续申请人在未参考根据条例（EU）No. 2015/2283第26条保护的专有科学数据的情况下获得该新食品的授权，或获得</w:t>
            </w:r>
            <w:r>
              <w:rPr>
                <w:rFonts w:eastAsia="方正仿宋_GBK"/>
                <w:sz w:val="24"/>
              </w:rPr>
              <w:t>Ynsect NLB.V.</w:t>
            </w:r>
            <w:r>
              <w:rPr>
                <w:rFonts w:eastAsia="方正仿宋_GBK" w:hint="eastAsia"/>
                <w:sz w:val="24"/>
              </w:rPr>
              <w:t>的同意。</w:t>
            </w:r>
          </w:p>
          <w:p>
            <w:pPr>
              <w:pStyle w:val="23"/>
              <w:snapToGrid w:val="0"/>
              <w:spacing w:line="400" w:lineRule="exact"/>
              <w:jc w:val="center"/>
              <w:rPr>
                <w:rFonts w:eastAsia="方正仿宋_GBK"/>
                <w:sz w:val="24"/>
              </w:rPr>
            </w:pPr>
            <w:r>
              <w:rPr>
                <w:rFonts w:eastAsia="方正仿宋_GBK" w:hint="eastAsia"/>
                <w:sz w:val="24"/>
              </w:rPr>
              <w:t>数据保护的结束日期：</w:t>
            </w:r>
            <w:r>
              <w:rPr>
                <w:rFonts w:eastAsia="方正仿宋_GBK"/>
                <w:sz w:val="24"/>
              </w:rPr>
              <w:t>2028</w:t>
            </w:r>
            <w:r>
              <w:rPr>
                <w:rFonts w:eastAsia="方正仿宋_GBK" w:hint="eastAsia"/>
                <w:sz w:val="24"/>
              </w:rPr>
              <w:t>年</w:t>
            </w:r>
            <w:r>
              <w:rPr>
                <w:rFonts w:eastAsia="方正仿宋_GBK"/>
                <w:sz w:val="24"/>
              </w:rPr>
              <w:t>1</w:t>
            </w:r>
            <w:r>
              <w:rPr>
                <w:rFonts w:eastAsia="方正仿宋_GBK" w:hint="eastAsia"/>
                <w:sz w:val="24"/>
              </w:rPr>
              <w:t>月</w:t>
            </w:r>
            <w:r>
              <w:rPr>
                <w:rFonts w:eastAsia="方正仿宋_GBK"/>
                <w:sz w:val="24"/>
              </w:rPr>
              <w:t>26</w:t>
            </w:r>
            <w:r>
              <w:rPr>
                <w:rFonts w:eastAsia="方正仿宋_GBK" w:hint="eastAsia"/>
                <w:sz w:val="24"/>
              </w:rPr>
              <w:t>日。</w:t>
            </w: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谷物棒</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25 （</w:t>
            </w:r>
            <w:r>
              <w:rPr>
                <w:rFonts w:eastAsia="方正仿宋_GBK" w:hint="eastAsia"/>
                <w:sz w:val="24"/>
              </w:rPr>
              <w:t>干燥形式</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25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面包和面包卷</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20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加工谷物和早餐谷物</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干燥形式</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麦片粥</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烘焙产品预混合（干燥）</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干意大利面制品</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填充意大利面制品</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28 （</w:t>
            </w:r>
            <w:r>
              <w:rPr>
                <w:rFonts w:eastAsia="方正仿宋_GBK" w:hint="eastAsia"/>
                <w:sz w:val="24"/>
              </w:rPr>
              <w:t>冷冻或糊状</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乳清粉</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35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汤羹类</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谷类、面食类菜肴</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披萨菜肴</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5 （</w:t>
            </w:r>
            <w:r>
              <w:rPr>
                <w:rFonts w:eastAsia="方正仿宋_GBK" w:hint="eastAsia"/>
                <w:sz w:val="24"/>
              </w:rPr>
              <w:t>干燥形式</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面条</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薯片以外的零食</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干燥形式</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薯片</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饼干和面包棒</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花生酱</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即食风味三明治</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20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肉类制剂</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14 （</w:t>
            </w:r>
            <w:r>
              <w:rPr>
                <w:rFonts w:eastAsia="方正仿宋_GBK" w:hint="eastAsia"/>
                <w:sz w:val="24"/>
              </w:rPr>
              <w:t>冷冻或糊状</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仿肉制品</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40 （</w:t>
            </w:r>
            <w:r>
              <w:rPr>
                <w:rFonts w:eastAsia="方正仿宋_GBK" w:hint="eastAsia"/>
                <w:sz w:val="24"/>
              </w:rPr>
              <w:t>冷冻或糊状</w:t>
            </w:r>
            <w:r>
              <w:rPr>
                <w:rFonts w:eastAsia="方正仿宋_GBK"/>
                <w:sz w:val="24"/>
              </w:rPr>
              <w:t>）</w:t>
            </w:r>
          </w:p>
          <w:p>
            <w:pPr>
              <w:pStyle w:val="23"/>
              <w:snapToGrid w:val="0"/>
              <w:spacing w:line="400" w:lineRule="exact"/>
              <w:jc w:val="center"/>
              <w:rPr>
                <w:rFonts w:eastAsia="方正仿宋_GBK"/>
                <w:sz w:val="24"/>
              </w:rPr>
            </w:pPr>
            <w:r>
              <w:rPr>
                <w:rFonts w:eastAsia="方正仿宋_GBK"/>
                <w:sz w:val="24"/>
              </w:rPr>
              <w:t>15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牛奶和乳制品类似物</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10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hint="eastAsia"/>
                <w:sz w:val="24"/>
              </w:rPr>
              <w:t>巧克力糖果</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5 （</w:t>
            </w:r>
            <w:r>
              <w:rPr>
                <w:rFonts w:eastAsia="方正仿宋_GBK" w:hint="eastAsia"/>
                <w:sz w:val="24"/>
              </w:rPr>
              <w:t>粉末形式</w:t>
            </w:r>
            <w:r>
              <w:rPr>
                <w:rFonts w:eastAsia="方正仿宋_GBK"/>
                <w:sz w:val="24"/>
              </w:rPr>
              <w:t>）</w:t>
            </w:r>
          </w:p>
        </w:tc>
        <w:tc>
          <w:tcPr>
            <w:tcW w:w="1682" w:type="dxa"/>
            <w:vMerge/>
            <w:tcBorders>
              <w:left w:val="single" w:sz="4" w:space="0" w:color="auto"/>
              <w:right w:val="single" w:sz="4" w:space="0" w:color="auto"/>
            </w:tcBorders>
            <w:shd w:val="clear" w:color="auto" w:fill="auto"/>
            <w:vAlign w:val="center"/>
          </w:tcPr>
          <w:p/>
        </w:tc>
        <w:tc>
          <w:tcPr>
            <w:tcW w:w="1829" w:type="dxa"/>
            <w:vMerge/>
            <w:tcBorders>
              <w:left w:val="single" w:sz="4" w:space="0" w:color="auto"/>
              <w:right w:val="single" w:sz="4" w:space="0" w:color="auto"/>
            </w:tcBorders>
            <w:shd w:val="clear" w:color="auto" w:fill="auto"/>
            <w:vAlign w:val="center"/>
          </w:tcPr>
          <w:p/>
        </w:tc>
      </w:tr>
      <w:tr>
        <w:trPr>
          <w:trHeight w:val="20"/>
          <w:tblHeader/>
        </w:trPr>
        <w:tc>
          <w:tcPr>
            <w:tcW w:w="1218" w:type="dxa"/>
            <w:vMerge/>
            <w:tcBorders>
              <w:left w:val="single" w:sz="4" w:space="0" w:color="auto"/>
              <w:bottom w:val="single" w:sz="4" w:space="0" w:color="auto"/>
              <w:right w:val="single" w:sz="4" w:space="0" w:color="auto"/>
            </w:tcBorders>
            <w:shd w:val="clear" w:color="auto" w:fill="auto"/>
            <w:vAlign w:val="center"/>
          </w:tcP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2002/46/EC</w:t>
            </w:r>
            <w:r>
              <w:rPr>
                <w:rFonts w:eastAsia="方正仿宋_GBK" w:hint="eastAsia"/>
                <w:sz w:val="24"/>
              </w:rPr>
              <w:t>指令中规定的成人食品补充剂</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23"/>
              <w:snapToGrid w:val="0"/>
              <w:spacing w:line="400" w:lineRule="exact"/>
              <w:jc w:val="center"/>
              <w:rPr>
                <w:rFonts w:eastAsia="方正仿宋_GBK"/>
                <w:sz w:val="24"/>
              </w:rPr>
            </w:pPr>
            <w:r>
              <w:rPr>
                <w:rFonts w:eastAsia="方正仿宋_GBK"/>
                <w:sz w:val="24"/>
              </w:rPr>
              <w:t>4 g/day （</w:t>
            </w:r>
            <w:r>
              <w:rPr>
                <w:rFonts w:eastAsia="方正仿宋_GBK" w:hint="eastAsia"/>
                <w:sz w:val="24"/>
              </w:rPr>
              <w:t>粉末形式</w:t>
            </w:r>
          </w:p>
        </w:tc>
        <w:tc>
          <w:tcPr>
            <w:tcW w:w="1682" w:type="dxa"/>
            <w:vMerge/>
            <w:tcBorders>
              <w:left w:val="single" w:sz="4" w:space="0" w:color="auto"/>
              <w:bottom w:val="single" w:sz="4" w:space="0" w:color="auto"/>
              <w:right w:val="single" w:sz="4" w:space="0" w:color="auto"/>
            </w:tcBorders>
            <w:shd w:val="clear" w:color="auto" w:fill="auto"/>
            <w:vAlign w:val="center"/>
          </w:tcPr>
          <w:p/>
        </w:tc>
        <w:tc>
          <w:tcPr>
            <w:tcW w:w="1829" w:type="dxa"/>
            <w:vMerge/>
            <w:tcBorders>
              <w:left w:val="single" w:sz="4" w:space="0" w:color="auto"/>
              <w:bottom w:val="single" w:sz="4" w:space="0" w:color="auto"/>
              <w:right w:val="single" w:sz="4" w:space="0" w:color="auto"/>
            </w:tcBorders>
            <w:shd w:val="clear" w:color="auto" w:fill="auto"/>
            <w:vAlign w:val="center"/>
          </w:tcPr>
          <w:p/>
        </w:tc>
      </w:tr>
    </w:tbl>
    <w:p>
      <w:pPr>
        <w:jc w:val="center"/>
        <w:rPr>
          <w:rFonts w:ascii="方正小标宋_GBK" w:eastAsia="方正小标宋_GBK" w:cs="方正小标宋_GBK"/>
          <w:sz w:val="44"/>
          <w:szCs w:val="44"/>
        </w:rPr>
      </w:pPr>
    </w:p>
    <w:p>
      <w:pPr>
        <w:pStyle w:val="24"/>
        <w:spacing w:beforeLines="50" w:before="156" w:afterLines="50" w:after="156" w:line="560" w:lineRule="exact"/>
        <w:ind w:firstLineChars="200" w:firstLine="640"/>
        <w:rPr>
          <w:rFonts w:ascii="方正黑体_GBK" w:eastAsia="方正黑体_GBK" w:cs="宋体"/>
          <w:b w:val="0"/>
          <w:kern w:val="0"/>
          <w:sz w:val="32"/>
          <w:szCs w:val="32"/>
        </w:rPr>
      </w:pPr>
      <w:bookmarkStart w:id="22" w:name="_Toc124163731"/>
      <w:bookmarkStart w:id="23" w:name="_GoBack"/>
      <w:bookmarkEnd w:id="23"/>
      <w:r>
        <w:rPr>
          <w:rFonts w:ascii="方正黑体_GBK" w:eastAsia="方正黑体_GBK" w:cs="宋体" w:hint="eastAsia"/>
          <w:b w:val="0"/>
          <w:kern w:val="0"/>
          <w:sz w:val="32"/>
          <w:szCs w:val="32"/>
        </w:rPr>
        <w:t>欧盟修订欧洲议会和理事会关于ICES第6至8分区红鲷具体技术措施有关法规</w:t>
      </w:r>
      <w:bookmarkEnd w:id="22"/>
    </w:p>
    <w:p>
      <w:pPr>
        <w:pStyle w:val="25"/>
        <w:ind w:firstLineChars="200" w:firstLine="640"/>
        <w:rPr>
          <w:rFonts w:eastAsia="方正仿宋_GBK"/>
          <w:kern w:val="0"/>
          <w:sz w:val="32"/>
          <w:szCs w:val="32"/>
        </w:rPr>
      </w:pPr>
      <w:r>
        <w:rPr>
          <w:rFonts w:eastAsia="方正仿宋_GBK" w:hint="eastAsia"/>
          <w:kern w:val="0"/>
          <w:sz w:val="32"/>
          <w:szCs w:val="32"/>
        </w:rPr>
        <w:t>欧盟官方公报2023年1月6日消息，2022年7月19日，欧盟委员会发布授权条例（EU）2023/56，修订了欧洲议会和理事会关于ICES第6至8分区红鲷（Pagellus</w:t>
      </w:r>
      <w:r>
        <w:rPr>
          <w:rFonts w:eastAsia="方正仿宋_GBK"/>
          <w:kern w:val="0"/>
          <w:sz w:val="32"/>
          <w:szCs w:val="32"/>
        </w:rPr>
        <w:t xml:space="preserve"> </w:t>
      </w:r>
      <w:r>
        <w:rPr>
          <w:rFonts w:eastAsia="方正仿宋_GBK" w:hint="eastAsia"/>
          <w:kern w:val="0"/>
          <w:sz w:val="32"/>
          <w:szCs w:val="32"/>
        </w:rPr>
        <w:t>bogaraveo）具体技术措施的条例（EU）2019/1241。具体修订内容为：（1）条例（EU）2019/1241附件VI和VII根据该条例附件进行了修订。（2）在（EU）2019/1241附件VI中，A部分修改如下：（a）表的第十九项替换如下：“红鲷（Pagellus</w:t>
      </w:r>
      <w:r>
        <w:rPr>
          <w:rFonts w:eastAsia="方正仿宋_GBK"/>
          <w:kern w:val="0"/>
          <w:sz w:val="32"/>
          <w:szCs w:val="32"/>
        </w:rPr>
        <w:t xml:space="preserve"> </w:t>
      </w:r>
      <w:r>
        <w:rPr>
          <w:rFonts w:eastAsia="方正仿宋_GBK" w:hint="eastAsia"/>
          <w:kern w:val="0"/>
          <w:sz w:val="32"/>
          <w:szCs w:val="32"/>
        </w:rPr>
        <w:t>bogaraveo）36厘米”；并规定了例外情况，如在2023年12月31日之前未通过新规则，则自2024年1月1日起，适用于红鲷的最低养护参考尺寸（MCRS）应为33cm。；（b）表下第1点中的文字替换如下：“本部分规定的鳕鱼（Gadus morhua）、黑线鳕（Melanogrammus aeglefinus）、狭鳕（Pollachius virens）、狭鳕（Pollachius pollachius）、无须鳕（Merluccius merluccius）、巨脂鲤（Lepidorhombus spp. ）、鳎鱼（Solea spp.）、鲽鱼（Pleuronectes platessa）、白鲑（Merlangius merlangus）、长魣鳕（Molva molva）、蓝魣鳕（Molva dypterygia）、鲭鱼（Scomber spp. ）、鲱鱼（Clupea harengus）、马鲛鱼（Trachurus spp. 鳀鱼（Engraulis encrasicolus）、鲈鱼（Dicentrarchus labrax）和沙丁鱼（Sardina pilchardus）应适用于西北水域的休闲渔业，但红鲷鱼（Pagellus bogaraveo）除外，其最低养护参考尺寸（MCRS）为40厘米应适用于ICES分区域6和7，直至2023年12月31日。（3）在附录VI中，C部分增加了以下内容：11.ICES分区6和7中保护红鲷的封闭区域，该条例应在其在《欧盟官方公报》上发表的次日生效，其适用期至2023年12月31日。</w:t>
      </w:r>
    </w:p>
    <w:p>
      <w:pPr>
        <w:jc w:val="center"/>
        <w:rPr>
          <w:rFonts w:ascii="方正小标宋_GBK" w:eastAsia="方正小标宋_GBK" w:cs="方正小标宋_GBK"/>
          <w:sz w:val="44"/>
          <w:szCs w:val="44"/>
        </w:rPr>
      </w:pPr>
    </w:p>
    <w:p>
      <w:pPr>
        <w:pStyle w:val="20"/>
        <w:spacing w:beforeLines="50" w:before="156" w:afterLines="50" w:after="156" w:line="560" w:lineRule="exact"/>
        <w:ind w:left="640"/>
        <w:rPr>
          <w:rFonts w:ascii="方正黑体_GBK" w:eastAsia="方正黑体_GBK" w:cs="宋体"/>
          <w:b w:val="0"/>
          <w:kern w:val="0"/>
          <w:sz w:val="32"/>
          <w:szCs w:val="32"/>
        </w:rPr>
      </w:pPr>
      <w:bookmarkStart w:id="24" w:name="_Toc123902355"/>
      <w:r>
        <w:rPr>
          <w:rFonts w:ascii="方正黑体_GBK" w:eastAsia="方正黑体_GBK" w:cs="宋体" w:hint="eastAsia"/>
          <w:b w:val="0"/>
          <w:kern w:val="0"/>
          <w:sz w:val="32"/>
          <w:szCs w:val="32"/>
        </w:rPr>
        <w:t>欧盟授权1种新食品</w:t>
      </w:r>
      <w:bookmarkEnd w:id="24"/>
    </w:p>
    <w:p>
      <w:pPr>
        <w:pStyle w:val="21"/>
        <w:ind w:firstLineChars="200" w:firstLine="640"/>
        <w:rPr>
          <w:rFonts w:eastAsia="方正仿宋_GBK"/>
          <w:kern w:val="0"/>
          <w:sz w:val="32"/>
          <w:szCs w:val="32"/>
        </w:rPr>
      </w:pPr>
      <w:r>
        <w:rPr>
          <w:rFonts w:eastAsia="方正仿宋_GBK"/>
          <w:kern w:val="0"/>
          <w:sz w:val="32"/>
          <w:szCs w:val="32"/>
        </w:rPr>
        <w:t>2022</w:t>
      </w:r>
      <w:r>
        <w:rPr>
          <w:rFonts w:eastAsia="方正仿宋_GBK" w:hint="eastAsia"/>
          <w:kern w:val="0"/>
          <w:sz w:val="32"/>
          <w:szCs w:val="32"/>
        </w:rPr>
        <w:t>年1月5日，欧盟发布（EU） 2023/52条例，授权1种新食品</w:t>
      </w:r>
      <w:r>
        <w:rPr>
          <w:rFonts w:eastAsia="方正仿宋_GBK"/>
          <w:kern w:val="0"/>
          <w:sz w:val="32"/>
          <w:szCs w:val="32"/>
        </w:rPr>
        <w:t>3-</w:t>
      </w:r>
      <w:r>
        <w:rPr>
          <w:rFonts w:eastAsia="方正仿宋_GBK" w:hint="eastAsia"/>
          <w:kern w:val="0"/>
          <w:sz w:val="32"/>
          <w:szCs w:val="32"/>
        </w:rPr>
        <w:t>岩藻糖基乳糖上市，自公布后第20日生效，并直接适用于所有成员国。主要内容如下：</w:t>
      </w:r>
    </w:p>
    <w:tbl>
      <w:tblPr>
        <w:jc w:val="cent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55"/>
        <w:gridCol w:w="2520"/>
        <w:gridCol w:w="2835"/>
        <w:gridCol w:w="2191"/>
      </w:tblGrid>
      <w:tr>
        <w:trPr>
          <w:trHeight w:val="20"/>
          <w:tblHeader/>
        </w:trPr>
        <w:tc>
          <w:tcPr>
            <w:tcW w:w="2055" w:type="dxa"/>
            <w:vMerge w:val="restart"/>
            <w:shd w:val="clear" w:color="auto" w:fill="auto"/>
            <w:vAlign w:val="center"/>
          </w:tcPr>
          <w:p>
            <w:pPr>
              <w:pStyle w:val="21"/>
              <w:snapToGrid w:val="0"/>
              <w:spacing w:line="400" w:lineRule="exact"/>
              <w:jc w:val="center"/>
              <w:rPr>
                <w:rFonts w:eastAsia="方正仿宋_GBK"/>
                <w:b/>
                <w:sz w:val="24"/>
              </w:rPr>
            </w:pPr>
            <w:r>
              <w:rPr>
                <w:rFonts w:eastAsia="方正仿宋_GBK" w:hint="eastAsia"/>
                <w:b/>
                <w:sz w:val="24"/>
              </w:rPr>
              <w:t>授权的新型食品</w:t>
            </w:r>
          </w:p>
        </w:tc>
        <w:tc>
          <w:tcPr>
            <w:tcW w:w="5355" w:type="dxa"/>
            <w:gridSpan w:val="2"/>
            <w:shd w:val="clear" w:color="auto" w:fill="auto"/>
            <w:vAlign w:val="center"/>
          </w:tcPr>
          <w:p>
            <w:pPr>
              <w:pStyle w:val="21"/>
              <w:snapToGrid w:val="0"/>
              <w:spacing w:line="400" w:lineRule="exact"/>
              <w:jc w:val="center"/>
              <w:rPr>
                <w:rFonts w:eastAsia="方正仿宋_GBK"/>
                <w:b/>
                <w:sz w:val="24"/>
              </w:rPr>
            </w:pPr>
            <w:r>
              <w:rPr>
                <w:rFonts w:eastAsia="方正仿宋_GBK" w:hint="eastAsia"/>
                <w:b/>
                <w:sz w:val="24"/>
              </w:rPr>
              <w:t>可使用新型食品的条件</w:t>
            </w:r>
          </w:p>
        </w:tc>
        <w:tc>
          <w:tcPr>
            <w:tcW w:w="2191" w:type="dxa"/>
            <w:vMerge w:val="restart"/>
            <w:shd w:val="clear" w:color="auto" w:fill="auto"/>
            <w:vAlign w:val="center"/>
          </w:tcPr>
          <w:p>
            <w:pPr>
              <w:pStyle w:val="21"/>
              <w:snapToGrid w:val="0"/>
              <w:spacing w:line="400" w:lineRule="exact"/>
              <w:jc w:val="center"/>
              <w:rPr>
                <w:rFonts w:eastAsia="方正仿宋_GBK"/>
                <w:b/>
                <w:sz w:val="24"/>
              </w:rPr>
            </w:pPr>
            <w:r>
              <w:rPr>
                <w:rFonts w:eastAsia="方正仿宋_GBK" w:hint="eastAsia"/>
                <w:b/>
                <w:sz w:val="24"/>
              </w:rPr>
              <w:t>其他特定标签要求</w:t>
            </w:r>
          </w:p>
        </w:tc>
      </w:tr>
      <w:tr>
        <w:trPr>
          <w:trHeight w:val="20"/>
          <w:tblHeader/>
        </w:trPr>
        <w:tc>
          <w:tcPr>
            <w:tcW w:w="2055" w:type="dxa"/>
            <w:vMerge/>
            <w:shd w:val="clear" w:color="auto" w:fill="auto"/>
            <w:vAlign w:val="center"/>
          </w:tcPr>
          <w:p/>
        </w:tc>
        <w:tc>
          <w:tcPr>
            <w:tcW w:w="2520"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指定食物类别</w:t>
            </w:r>
          </w:p>
        </w:tc>
        <w:tc>
          <w:tcPr>
            <w:tcW w:w="2835"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最高限量</w:t>
            </w:r>
          </w:p>
        </w:tc>
        <w:tc>
          <w:tcPr>
            <w:tcW w:w="2191" w:type="dxa"/>
            <w:vMerge/>
            <w:shd w:val="clear" w:color="auto" w:fill="auto"/>
            <w:vAlign w:val="center"/>
          </w:tcPr>
          <w:p/>
        </w:tc>
      </w:tr>
      <w:tr>
        <w:trPr>
          <w:trHeight w:val="20"/>
          <w:tblHeader/>
        </w:trPr>
        <w:tc>
          <w:tcPr>
            <w:tcW w:w="2055" w:type="dxa"/>
            <w:vMerge w:val="restart"/>
            <w:shd w:val="clear" w:color="auto" w:fill="auto"/>
            <w:vAlign w:val="center"/>
          </w:tcPr>
          <w:p>
            <w:pPr>
              <w:pStyle w:val="21"/>
              <w:snapToGrid w:val="0"/>
              <w:spacing w:line="400" w:lineRule="exact"/>
              <w:jc w:val="center"/>
              <w:rPr>
                <w:rFonts w:eastAsia="方正仿宋_GBK"/>
                <w:sz w:val="24"/>
              </w:rPr>
            </w:pPr>
            <w:r>
              <w:rPr>
                <w:rFonts w:eastAsia="方正仿宋_GBK"/>
                <w:sz w:val="24"/>
              </w:rPr>
              <w:t>3-</w:t>
            </w:r>
            <w:r>
              <w:rPr>
                <w:rFonts w:eastAsia="方正仿宋_GBK" w:hint="eastAsia"/>
                <w:sz w:val="24"/>
              </w:rPr>
              <w:t>岩藻糖基乳糖</w:t>
            </w:r>
            <w:r>
              <w:rPr>
                <w:rFonts w:eastAsia="方正仿宋_GBK"/>
                <w:sz w:val="24"/>
              </w:rPr>
              <w:t> （</w:t>
            </w:r>
            <w:r>
              <w:rPr>
                <w:rFonts w:eastAsia="方正仿宋_GBK" w:hint="eastAsia"/>
                <w:sz w:val="24"/>
              </w:rPr>
              <w:t>‘</w:t>
            </w:r>
            <w:r>
              <w:rPr>
                <w:rFonts w:eastAsia="方正仿宋_GBK"/>
                <w:sz w:val="24"/>
              </w:rPr>
              <w:t>3-FL</w:t>
            </w:r>
            <w:r>
              <w:rPr>
                <w:rFonts w:eastAsia="方正仿宋_GBK" w:hint="eastAsia"/>
                <w:sz w:val="24"/>
              </w:rPr>
              <w:t>’</w:t>
            </w:r>
            <w:r>
              <w:rPr>
                <w:rFonts w:eastAsia="方正仿宋_GBK"/>
                <w:sz w:val="24"/>
              </w:rPr>
              <w:t>）</w:t>
            </w:r>
            <w:r>
              <w:rPr>
                <w:rFonts w:eastAsia="方正仿宋_GBK" w:hint="eastAsia"/>
                <w:sz w:val="24"/>
              </w:rPr>
              <w:t>（微生物来源（大肠杆菌</w:t>
            </w:r>
            <w:r>
              <w:rPr>
                <w:rFonts w:eastAsia="方正仿宋_GBK"/>
                <w:sz w:val="24"/>
              </w:rPr>
              <w:t xml:space="preserve"> BL21 </w:t>
            </w:r>
            <w:r>
              <w:rPr>
                <w:rFonts w:eastAsia="方正仿宋_GBK" w:hint="eastAsia"/>
                <w:sz w:val="24"/>
              </w:rPr>
              <w:t>（</w:t>
            </w:r>
            <w:r>
              <w:rPr>
                <w:rFonts w:eastAsia="方正仿宋_GBK"/>
                <w:sz w:val="24"/>
              </w:rPr>
              <w:t>DE</w:t>
            </w:r>
            <w:r>
              <w:rPr>
                <w:rFonts w:eastAsia="方正仿宋_GBK" w:hint="eastAsia"/>
                <w:sz w:val="24"/>
              </w:rPr>
              <w:t>）））</w:t>
            </w:r>
          </w:p>
        </w:tc>
        <w:tc>
          <w:tcPr>
            <w:tcW w:w="2520"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法规</w:t>
            </w:r>
            <w:r>
              <w:rPr>
                <w:rFonts w:eastAsia="方正仿宋_GBK"/>
                <w:sz w:val="24"/>
              </w:rPr>
              <w:t> （EU） No 609/2013 </w:t>
            </w:r>
            <w:r>
              <w:rPr>
                <w:rFonts w:eastAsia="方正仿宋_GBK" w:hint="eastAsia"/>
                <w:sz w:val="24"/>
              </w:rPr>
              <w:t>中定义的婴儿配方奶粉</w:t>
            </w:r>
          </w:p>
        </w:tc>
        <w:tc>
          <w:tcPr>
            <w:tcW w:w="2835"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0.90 g/L 在最终产品中可供使用、按原样销售或按照制造商的指示重新配制</w:t>
            </w:r>
          </w:p>
        </w:tc>
        <w:tc>
          <w:tcPr>
            <w:tcW w:w="2191" w:type="dxa"/>
            <w:vMerge w:val="restart"/>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新食品在含有它的食品标签上的名称应为“</w:t>
            </w:r>
            <w:r>
              <w:rPr>
                <w:rFonts w:eastAsia="方正仿宋_GBK"/>
                <w:sz w:val="24"/>
              </w:rPr>
              <w:t>3-</w:t>
            </w:r>
            <w:r>
              <w:rPr>
                <w:rFonts w:eastAsia="方正仿宋_GBK" w:hint="eastAsia"/>
                <w:sz w:val="24"/>
              </w:rPr>
              <w:t>岩藻糖基乳糖”。</w:t>
            </w:r>
          </w:p>
          <w:p>
            <w:pPr>
              <w:pStyle w:val="21"/>
              <w:snapToGrid w:val="0"/>
              <w:spacing w:line="400" w:lineRule="exact"/>
              <w:jc w:val="center"/>
              <w:rPr>
                <w:rFonts w:eastAsia="方正仿宋_GBK"/>
                <w:sz w:val="24"/>
              </w:rPr>
            </w:pPr>
            <w:r>
              <w:rPr>
                <w:rFonts w:eastAsia="方正仿宋_GBK" w:hint="eastAsia"/>
                <w:sz w:val="24"/>
              </w:rPr>
              <w:t>含有</w:t>
            </w:r>
            <w:r>
              <w:rPr>
                <w:rFonts w:eastAsia="方正仿宋_GBK"/>
                <w:sz w:val="24"/>
              </w:rPr>
              <w:t>3-</w:t>
            </w:r>
            <w:r>
              <w:rPr>
                <w:rFonts w:eastAsia="方正仿宋_GBK" w:hint="eastAsia"/>
                <w:sz w:val="24"/>
              </w:rPr>
              <w:t>岩藻糖基乳糖的食品补充剂的标签应注明：（</w:t>
            </w:r>
            <w:r>
              <w:rPr>
                <w:rFonts w:eastAsia="方正仿宋_GBK"/>
                <w:sz w:val="24"/>
              </w:rPr>
              <w:t>a</w:t>
            </w:r>
            <w:r>
              <w:rPr>
                <w:rFonts w:eastAsia="方正仿宋_GBK" w:hint="eastAsia"/>
                <w:sz w:val="24"/>
              </w:rPr>
              <w:t>）如果在同一天食用了其他含有添加</w:t>
            </w:r>
            <w:r>
              <w:rPr>
                <w:rFonts w:eastAsia="方正仿宋_GBK"/>
                <w:sz w:val="24"/>
              </w:rPr>
              <w:t>3-</w:t>
            </w:r>
            <w:r>
              <w:rPr>
                <w:rFonts w:eastAsia="方正仿宋_GBK" w:hint="eastAsia"/>
                <w:sz w:val="24"/>
              </w:rPr>
              <w:t>岩藻糖基乳糖食品，则不得使用；（</w:t>
            </w:r>
            <w:r>
              <w:rPr>
                <w:rFonts w:eastAsia="方正仿宋_GBK"/>
                <w:sz w:val="24"/>
              </w:rPr>
              <w:t>b</w:t>
            </w:r>
            <w:r>
              <w:rPr>
                <w:rFonts w:eastAsia="方正仿宋_GBK" w:hint="eastAsia"/>
                <w:sz w:val="24"/>
              </w:rPr>
              <w:t>）</w:t>
            </w:r>
            <w:r>
              <w:rPr>
                <w:rFonts w:eastAsia="方正仿宋_GBK"/>
                <w:sz w:val="24"/>
              </w:rPr>
              <w:t> 3</w:t>
            </w:r>
            <w:r>
              <w:rPr>
                <w:rFonts w:eastAsia="方正仿宋_GBK" w:hint="eastAsia"/>
                <w:sz w:val="24"/>
              </w:rPr>
              <w:t>岁以下儿童不得食用</w:t>
            </w:r>
          </w:p>
        </w:tc>
      </w:tr>
      <w:tr>
        <w:trPr>
          <w:trHeight w:val="20"/>
          <w:tblHeader/>
        </w:trPr>
        <w:tc>
          <w:tcPr>
            <w:tcW w:w="2055" w:type="dxa"/>
            <w:vMerge/>
            <w:shd w:val="clear" w:color="auto" w:fill="auto"/>
            <w:vAlign w:val="center"/>
          </w:tcPr>
          <w:p/>
        </w:tc>
        <w:tc>
          <w:tcPr>
            <w:tcW w:w="2520"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根据法规</w:t>
            </w:r>
            <w:r>
              <w:rPr>
                <w:rFonts w:eastAsia="方正仿宋_GBK"/>
                <w:sz w:val="24"/>
              </w:rPr>
              <w:t> （EU） No 609/2013 </w:t>
            </w:r>
            <w:r>
              <w:rPr>
                <w:rFonts w:eastAsia="方正仿宋_GBK" w:hint="eastAsia"/>
                <w:sz w:val="24"/>
              </w:rPr>
              <w:t>定义的后续配方</w:t>
            </w:r>
          </w:p>
        </w:tc>
        <w:tc>
          <w:tcPr>
            <w:tcW w:w="2835"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1.20 g/L 在最终产品中可供使用、按原样销售或按照制造商的指示重新配制</w:t>
            </w:r>
          </w:p>
        </w:tc>
        <w:tc>
          <w:tcPr>
            <w:tcW w:w="2191" w:type="dxa"/>
            <w:vMerge/>
            <w:shd w:val="clear" w:color="auto" w:fill="auto"/>
            <w:vAlign w:val="center"/>
          </w:tcPr>
          <w:p/>
        </w:tc>
      </w:tr>
      <w:tr>
        <w:trPr>
          <w:trHeight w:val="20"/>
          <w:tblHeader/>
        </w:trPr>
        <w:tc>
          <w:tcPr>
            <w:tcW w:w="2055" w:type="dxa"/>
            <w:vMerge/>
            <w:shd w:val="clear" w:color="auto" w:fill="auto"/>
            <w:vAlign w:val="center"/>
          </w:tcPr>
          <w:p/>
        </w:tc>
        <w:tc>
          <w:tcPr>
            <w:tcW w:w="2520"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供幼儿使用的牛奶饮料和类似产品</w:t>
            </w:r>
          </w:p>
        </w:tc>
        <w:tc>
          <w:tcPr>
            <w:tcW w:w="2835"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1.20 g/L 在最终产品中可供使用、按原样销售或按照制造商的指示重新配制</w:t>
            </w:r>
          </w:p>
        </w:tc>
        <w:tc>
          <w:tcPr>
            <w:tcW w:w="2191" w:type="dxa"/>
            <w:vMerge/>
            <w:shd w:val="clear" w:color="auto" w:fill="auto"/>
            <w:vAlign w:val="center"/>
          </w:tcPr>
          <w:p/>
        </w:tc>
      </w:tr>
      <w:tr>
        <w:trPr>
          <w:trHeight w:val="20"/>
          <w:tblHeader/>
        </w:trPr>
        <w:tc>
          <w:tcPr>
            <w:tcW w:w="2055" w:type="dxa"/>
            <w:vMerge/>
            <w:shd w:val="clear" w:color="auto" w:fill="auto"/>
            <w:vAlign w:val="center"/>
          </w:tcPr>
          <w:p/>
        </w:tc>
        <w:tc>
          <w:tcPr>
            <w:tcW w:w="2520" w:type="dxa"/>
            <w:shd w:val="clear" w:color="auto" w:fill="auto"/>
            <w:vAlign w:val="center"/>
          </w:tcPr>
          <w:p>
            <w:pPr>
              <w:pStyle w:val="21"/>
              <w:snapToGrid w:val="0"/>
              <w:spacing w:line="400" w:lineRule="exact"/>
              <w:jc w:val="center"/>
              <w:rPr>
                <w:color w:val="000000"/>
                <w:sz w:val="18"/>
                <w:szCs w:val="18"/>
              </w:rPr>
            </w:pPr>
            <w:r>
              <w:rPr>
                <w:rFonts w:hint="eastAsia"/>
                <w:color w:val="000000"/>
                <w:sz w:val="18"/>
                <w:szCs w:val="18"/>
              </w:rPr>
              <w:t>指令</w:t>
            </w:r>
            <w:r>
              <w:rPr>
                <w:color w:val="000000"/>
                <w:sz w:val="18"/>
                <w:szCs w:val="18"/>
              </w:rPr>
              <w:t> 2002/46/EC </w:t>
            </w:r>
            <w:r>
              <w:rPr>
                <w:rFonts w:hint="eastAsia"/>
                <w:color w:val="000000"/>
                <w:sz w:val="18"/>
                <w:szCs w:val="18"/>
              </w:rPr>
              <w:t>中定义的食品补充剂，适用于一般人群，不包括婴幼儿</w:t>
            </w:r>
          </w:p>
        </w:tc>
        <w:tc>
          <w:tcPr>
            <w:tcW w:w="2835" w:type="dxa"/>
            <w:shd w:val="clear" w:color="auto" w:fill="auto"/>
            <w:vAlign w:val="center"/>
          </w:tcPr>
          <w:p>
            <w:pPr>
              <w:pStyle w:val="21"/>
              <w:snapToGrid w:val="0"/>
              <w:spacing w:line="400" w:lineRule="exact"/>
              <w:jc w:val="center"/>
              <w:rPr>
                <w:rFonts w:eastAsia="方正仿宋_GBK"/>
                <w:sz w:val="24"/>
              </w:rPr>
            </w:pPr>
            <w:r>
              <w:rPr>
                <w:rFonts w:eastAsia="方正仿宋_GBK" w:hint="eastAsia"/>
                <w:sz w:val="24"/>
              </w:rPr>
              <w:t>3.0g/天</w:t>
            </w:r>
          </w:p>
        </w:tc>
        <w:tc>
          <w:tcPr>
            <w:tcW w:w="2191" w:type="dxa"/>
            <w:vMerge/>
            <w:shd w:val="clear" w:color="auto" w:fill="auto"/>
            <w:vAlign w:val="center"/>
          </w:tcPr>
          <w:p/>
        </w:tc>
      </w:tr>
    </w:tbl>
    <w:p>
      <w:pPr>
        <w:jc w:val="center"/>
        <w:rPr>
          <w:rFonts w:ascii="方正小标宋_GBK" w:eastAsia="方正小标宋_GBK" w:cs="方正小标宋_GBK"/>
          <w:sz w:val="44"/>
          <w:szCs w:val="44"/>
        </w:rPr>
      </w:pPr>
    </w:p>
    <w:p>
      <w:pPr>
        <w:pStyle w:val="18"/>
        <w:spacing w:beforeLines="50" w:before="156" w:afterLines="50" w:after="156" w:line="560" w:lineRule="exact"/>
        <w:ind w:left="640"/>
        <w:rPr>
          <w:rFonts w:ascii="方正黑体_GBK" w:eastAsia="方正黑体_GBK" w:cs="宋体"/>
          <w:b w:val="0"/>
          <w:kern w:val="0"/>
          <w:sz w:val="32"/>
          <w:szCs w:val="32"/>
        </w:rPr>
      </w:pPr>
      <w:bookmarkStart w:id="25" w:name="_Toc36293289"/>
      <w:r>
        <w:rPr>
          <w:rFonts w:ascii="方正黑体_GBK" w:eastAsia="方正黑体_GBK" w:cs="宋体" w:hint="eastAsia"/>
          <w:b w:val="0"/>
          <w:kern w:val="0"/>
          <w:sz w:val="32"/>
          <w:szCs w:val="32"/>
        </w:rPr>
        <w:t>欧盟修订化妆品等某些货物的分类规定</w:t>
      </w:r>
      <w:bookmarkEnd w:id="25"/>
    </w:p>
    <w:p>
      <w:pPr>
        <w:pStyle w:val="19"/>
        <w:ind w:firstLineChars="200" w:firstLine="640"/>
        <w:rPr>
          <w:rFonts w:eastAsia="方正仿宋_GBK"/>
          <w:kern w:val="0"/>
          <w:sz w:val="32"/>
          <w:szCs w:val="32"/>
        </w:rPr>
      </w:pPr>
      <w:r>
        <w:rPr>
          <w:rFonts w:eastAsia="方正仿宋_GBK" w:hint="eastAsia"/>
          <w:kern w:val="0"/>
          <w:sz w:val="32"/>
          <w:szCs w:val="32"/>
        </w:rPr>
        <w:t>欧盟官方公报2023年1月3日消息，2022年12月21日，欧盟委员会发布实施条例(EU) 2023/2，废除实施条例(EU) No 761/2014 《关于某些货物在综合术语中的分类规定》。实施条例(EU) 2023/2认为，根据欧盟理事会决定87/369/EEC，欧盟是《商品名称及编码协调制度国际公约》的缔约国，条例中规定的措施符合海关编码委员会的意见，世界海关组织（WCO）协调制度委员会（HSC）批准的分类意见是欧盟关税措施的指导工具；因此，废除实施条例(EU) No 761/2014。该条例在欧盟官方公报上公布后的第二十日开始生效。该条例的全部内容具有约束力，并直接适用于所有成员国。其中，被废除的实施条例(EU) No 761/2014 中有两类产品涉及化妆品，包括：（1）根据委员会实施条例(EU) No 761/2014，一种用于清洗皮肤和头发的表面活性制剂，呈凝胶状，含有类似比例的清洗皮肤和清洗头发的特定成分，装在一个300毫升的塑料瓶中，用于零售，被归入理事会条例（EEC）第2658/87号（3）所附综合术语（CN）的代码3401 30 00，作为 "用于零售的清洗皮肤的制剂"。该产品既是CN代码3305意义上的洗发剂，也是代码3401意义上的洗皮剂。因不能确定哪种成分使该产品具有基本特征。因此，根据CN解释的一般规则，该产品必须归入数字顺序最后出现的章节下，即章节3401。（2）在2022年3月的第69届会议上，世界海关组织（WCO）协调制度委员会（HSC）批准了分类意见3305.10/5，将用于零售、包装为250毫升瓶的含有水、有机表面活性剂、甘油、植物提取物、硫酸镁、葡萄糖酸锌、丁二醇、氯化钠、柠檬酸、酒精、香料、芳香物质和赋形剂的洗发水凝胶分类，归入HS代码3305，根据解释《协调制度》的一般规则1和6以及《协调制度》第34章注释1（c），该产品被归入《协调制度》子目3305 10，该子目对应于CN代码3305 10 00。</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黑体_GBK">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Times New Roman" w:eastAsia="宋体" w:cs="Times New Roman" w:hAnsi="Times New Roman"/>
      <w:kern w:val="2"/>
      <w:sz w:val="21"/>
      <w:szCs w:val="24"/>
      <w:lang w:val="en-US" w:eastAsia="zh-CN" w:bidi="ar-SA"/>
    </w:rPr>
  </w:style>
  <w:style w:type="character" w:styleId="16">
    <w:name w:val="Hyperlink"/>
    <w:basedOn w:val="10"/>
    <w:rPr>
      <w:color w:val="0000FF"/>
      <w:u w:val="single"/>
    </w:rPr>
  </w:style>
  <w:style w:type="character" w:styleId="17">
    <w:name w:val="FollowedHyperlink"/>
    <w:basedOn w:val="10"/>
    <w:rPr>
      <w:color w:val="800080"/>
      <w:u w:val="single"/>
    </w:rPr>
  </w:style>
  <w:style w:type="paragraph" w:customStyle="1" w:styleId="18">
    <w:name w:val="样式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9">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20">
    <w:name w:val="样式 1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21">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22">
    <w:name w:val="样式 2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23">
    <w:name w:val="样式 3 10 磅"/>
    <w:pPr>
      <w:widowControl w:val="0"/>
      <w:jc w:val="both"/>
    </w:pPr>
    <w:rPr>
      <w:rFonts w:ascii="Times New Roman" w:eastAsia="宋体" w:cs="Times New Roman" w:hAnsi="Times New Roman"/>
      <w:kern w:val="2"/>
      <w:sz w:val="21"/>
      <w:szCs w:val="24"/>
      <w:lang w:val="en-US" w:eastAsia="zh-CN" w:bidi="ar-SA"/>
    </w:rPr>
  </w:style>
  <w:style w:type="paragraph" w:customStyle="1" w:styleId="24">
    <w:name w:val="样式 3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25">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26">
    <w:name w:val="样式 4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27">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28">
    <w:name w:val="样式 5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29">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30">
    <w:name w:val="样式 6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31">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7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33">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8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35">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9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37">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38">
    <w:name w:val="样式 10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39">
    <w:name w:val="样式 11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11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41">
    <w:name w:val="样式 12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12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43">
    <w:name w:val="样式 13 10 磅"/>
    <w:pPr>
      <w:widowControl w:val="0"/>
      <w:jc w:val="both"/>
    </w:pPr>
    <w:rPr>
      <w:rFonts w:ascii="Times New Roman" w:eastAsia="宋体" w:cs="Times New Roman" w:hAnsi="Times New Roman"/>
      <w:kern w:val="2"/>
      <w:sz w:val="21"/>
      <w:szCs w:val="24"/>
      <w:lang w:val="en-US" w:eastAsia="zh-CN" w:bidi="ar-SA"/>
    </w:rPr>
  </w:style>
  <w:style w:type="paragraph" w:customStyle="1" w:styleId="44">
    <w:name w:val="样式 13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45">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4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47">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15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49">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50">
    <w:name w:val="样式 16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51">
    <w:name w:val="样式 17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17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53">
    <w:name w:val="样式 18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19 10 磅"/>
    <w:pPr>
      <w:widowControl w:val="0"/>
      <w:spacing w:line="240" w:lineRule="auto"/>
      <w:jc w:val="both"/>
    </w:pPr>
    <w:rPr>
      <w:rFonts w:ascii="Times New Roman" w:eastAsia="宋体" w:cs="Lucida Sans"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141</TotalTime>
  <Application>Yozo_Office</Application>
  <Pages>29</Pages>
  <Words>12607</Words>
  <Characters>15974</Characters>
  <Lines>1180</Lines>
  <Paragraphs>502</Paragraphs>
  <CharactersWithSpaces>16351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孟宪金</dc:creator>
  <cp:lastModifiedBy>Windows 用户</cp:lastModifiedBy>
  <cp:revision>1</cp:revision>
  <dcterms:created xsi:type="dcterms:W3CDTF">2023-02-20T02:04:22Z</dcterms:created>
  <dcterms:modified xsi:type="dcterms:W3CDTF">2023-03-13T02:56:02Z</dcterms:modified>
</cp:coreProperties>
</file>